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w:body>
    <w:p>
      <w:r>
        <w:drawing>
          <wp:inline distT="0" distB="0" distL="0" distR="0">
            <wp:extent cx="1554480" cy="5700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tretch>
                      <a:fillRect/>
                    </a:stretch>
                  </pic:blipFill>
                  <pic:spPr>
                    <a:xfrm>
                      <a:off x="0" y="0"/>
                      <a:ext cx="1554480" cy="570052"/>
                    </a:xfrm>
                    <a:prstGeom prst="rect">
                      <a:avLst/>
                    </a:prstGeom>
                  </pic:spPr>
                </pic:pic>
              </a:graphicData>
            </a:graphic>
          </wp:inline>
        </w:drawing>
      </w:r>
    </w:p>
    <w:p>
      <w:pPr>
        <w:spacing w:after="200"/>
      </w:pPr>
      <w:r>
        <w:rPr>
          <w:b/>
          <w:bCs/>
          <w:color w:val="5A6472"/>
          <w:sz w:val="18"/>
          <w:szCs w:val="18"/>
        </w:rPr>
        <w:t>Unión de Autónomos y Pymes de la Región de Murcia</w:t>
      </w:r>
    </w:p>
    <w:p>
      <w:pPr>
        <w:pStyle w:val="Title"/>
      </w:pPr>
      <w:r>
        <w:t>Protocolo Anti-Impagos</w:t>
      </w:r>
    </w:p>
    <w:p>
      <w:pPr>
        <w:pStyle w:val="Subtitle"/>
      </w:pPr>
      <w:r>
        <w:t>Cómo cobrar lo que te deben · Guía + 3 plantillas</w:t>
      </w:r>
    </w:p>
    <w:p>
      <w:pPr>
        <w:pBdr>
          <w:top w:val="single" w:sz="48" w:space="4" w:color="B8963E"/>
          <w:left w:val="single" w:sz="48" w:space="4" w:color="B8963E"/>
          <w:bottom w:val="single" w:sz="48" w:space="4" w:color="B8963E"/>
          <w:right w:val="single" w:sz="48" w:space="4" w:color="B8963E"/>
        </w:pBdr>
        <w:shd w:val="clear" w:color="auto" w:fill="F3E8D2"/>
        <w:spacing w:before="120" w:after="160"/>
        <w:ind w:left="144" w:right="144"/>
      </w:pPr>
      <w:r>
        <w:rPr>
          <w:b/>
          <w:bCs/>
          <w:color w:val="14315C"/>
        </w:rPr>
        <w:t>Verificado por UNAMUR · Octubre de 2026</w:t>
      </w:r>
    </w:p>
    <w:p>
      <w:r>
        <w:rPr>
          <w:sz w:val="22"/>
          <w:szCs w:val="22"/>
        </w:rPr>
        <w:t>Cobrar es parte del trabajo. Y reclamar, también. Este protocolo te lleva de la mano desde el recordatorio amable hasta el juzgado, con tres plantillas listas para copiar y enviar.</w:t>
      </w:r>
    </w:p>
    <w:p>
      <w:pPr>
        <w:pStyle w:val="Heading1"/>
      </w:pPr>
      <w:r>
        <w:t>1 · Antes de reclamar: previene</w:t>
      </w:r>
    </w:p>
    <w:p>
      <w:pPr>
        <w:pStyle w:val="ListParagraph"/>
        <w:numPr>
          <w:ilvl w:val="0"/>
          <w:numId w:val="1"/>
        </w:numPr>
      </w:pPr>
      <w:r>
        <w:rPr>
          <w:sz w:val="21"/>
          <w:szCs w:val="21"/>
        </w:rPr>
        <w:t>Haz constar por escrito el plazo de pago en cada presupuesto y en cada factura.</w:t>
      </w:r>
    </w:p>
    <w:p>
      <w:pPr>
        <w:pStyle w:val="ListParagraph"/>
        <w:numPr>
          <w:ilvl w:val="0"/>
          <w:numId w:val="1"/>
        </w:numPr>
      </w:pPr>
      <w:r>
        <w:rPr>
          <w:sz w:val="21"/>
          <w:szCs w:val="21"/>
        </w:rPr>
        <w:t>El plazo legal máximo entre empresas es de 60 días; frente a la Administración, de 30 días (Ley 3/2004, de lucha contra la morosidad).</w:t>
      </w:r>
    </w:p>
    <w:p>
      <w:pPr>
        <w:pStyle w:val="ListParagraph"/>
        <w:numPr>
          <w:ilvl w:val="0"/>
          <w:numId w:val="1"/>
        </w:numPr>
      </w:pPr>
      <w:r>
        <w:rPr>
          <w:sz w:val="21"/>
          <w:szCs w:val="21"/>
        </w:rPr>
        <w:t>Incluye una cláusula de intereses de demora por retraso.</w:t>
      </w:r>
    </w:p>
    <w:p>
      <w:pPr>
        <w:pStyle w:val="ListParagraph"/>
        <w:numPr>
          <w:ilvl w:val="0"/>
          <w:numId w:val="1"/>
        </w:numPr>
      </w:pPr>
      <w:r>
        <w:rPr>
          <w:sz w:val="21"/>
          <w:szCs w:val="21"/>
        </w:rPr>
        <w:t>Numera y guarda todas las facturas y los albaranes firmados.</w:t>
      </w:r>
    </w:p>
    <w:p>
      <w:pPr>
        <w:pStyle w:val="Heading1"/>
      </w:pPr>
      <w:r>
        <w:t>2 · El protocolo en 5 pasos</w:t>
      </w:r>
    </w:p>
    <w:tbl>
      <w:tblPr>
        <w:tblStyle w:val="TableGrid"/>
        <w:tblW w:w="8928" w:type="dxa"/>
        <w:tblLayout w:type="fixed"/>
        <w:tblLook w:val="04A0" w:firstRow="1" w:lastRow="0" w:firstColumn="1" w:lastColumn="0" w:noHBand="0" w:noVBand="1"/>
      </w:tblPr>
      <w:tblGrid>
        <w:gridCol w:w="1944"/>
        <w:gridCol w:w="3240"/>
        <w:gridCol w:w="3744"/>
      </w:tblGrid>
      <w:tr>
        <w:trPr>
          <w:tblHeader/>
        </w:trPr>
        <w:tc>
          <w:tcPr>
            <w:tcW w:w="1944" w:type="dxa"/>
            <w:shd w:val="clear" w:color="auto" w:fill="F2F2F2"/>
          </w:tcPr>
          <w:p>
            <w:pPr>
              <w:spacing w:after="0"/>
            </w:pPr>
            <w:r>
              <w:rPr>
                <w:b/>
                <w:bCs/>
              </w:rPr>
              <w:t>Cuándo</w:t>
            </w:r>
          </w:p>
        </w:tc>
        <w:tc>
          <w:tcPr>
            <w:tcW w:w="3240" w:type="dxa"/>
            <w:shd w:val="clear" w:color="auto" w:fill="F2F2F2"/>
          </w:tcPr>
          <w:p>
            <w:pPr>
              <w:spacing w:after="0"/>
            </w:pPr>
            <w:r>
              <w:rPr>
                <w:b/>
                <w:bCs/>
              </w:rPr>
              <w:t>Qué haces</w:t>
            </w:r>
          </w:p>
        </w:tc>
        <w:tc>
          <w:tcPr>
            <w:tcW w:w="3744" w:type="dxa"/>
            <w:shd w:val="clear" w:color="auto" w:fill="F2F2F2"/>
          </w:tcPr>
          <w:p>
            <w:pPr>
              <w:spacing w:after="0"/>
            </w:pPr>
            <w:r>
              <w:rPr>
                <w:b/>
                <w:bCs/>
              </w:rPr>
              <w:t>Cómo</w:t>
            </w:r>
          </w:p>
        </w:tc>
      </w:tr>
      <w:tr>
        <w:tc>
          <w:tcPr>
            <w:tcW w:w="1944" w:type="dxa"/>
          </w:tcPr>
          <w:p>
            <w:pPr>
              <w:spacing w:after="0"/>
            </w:pPr>
            <w:r>
              <w:t>Día 1 tras el vencimiento</w:t>
            </w:r>
          </w:p>
        </w:tc>
        <w:tc>
          <w:tcPr>
            <w:tcW w:w="3240" w:type="dxa"/>
          </w:tcPr>
          <w:p>
            <w:pPr>
              <w:spacing w:after="0"/>
            </w:pPr>
            <w:r>
              <w:t>Recordatorio amable</w:t>
            </w:r>
          </w:p>
        </w:tc>
        <w:tc>
          <w:tcPr>
            <w:tcW w:w="3744" w:type="dxa"/>
          </w:tcPr>
          <w:p>
            <w:pPr>
              <w:spacing w:after="0"/>
            </w:pPr>
            <w:r>
              <w:t>Email o WhatsApp (Plantilla 1)</w:t>
            </w:r>
          </w:p>
        </w:tc>
      </w:tr>
      <w:tr>
        <w:tc>
          <w:tcPr>
            <w:tcW w:w="1944" w:type="dxa"/>
          </w:tcPr>
          <w:p>
            <w:pPr>
              <w:spacing w:after="0"/>
            </w:pPr>
            <w:r>
              <w:t>Día 15</w:t>
            </w:r>
          </w:p>
        </w:tc>
        <w:tc>
          <w:tcPr>
            <w:tcW w:w="3240" w:type="dxa"/>
          </w:tcPr>
          <w:p>
            <w:pPr>
              <w:spacing w:after="0"/>
            </w:pPr>
            <w:r>
              <w:t>Requerimiento formal de pago</w:t>
            </w:r>
          </w:p>
        </w:tc>
        <w:tc>
          <w:tcPr>
            <w:tcW w:w="3744" w:type="dxa"/>
          </w:tcPr>
          <w:p>
            <w:pPr>
              <w:spacing w:after="0"/>
            </w:pPr>
            <w:r>
              <w:t>Escrito por burofax o email con acuse (Plantilla 2)</w:t>
            </w:r>
          </w:p>
        </w:tc>
      </w:tr>
      <w:tr>
        <w:tc>
          <w:tcPr>
            <w:tcW w:w="1944" w:type="dxa"/>
          </w:tcPr>
          <w:p>
            <w:pPr>
              <w:spacing w:after="0"/>
            </w:pPr>
            <w:r>
              <w:t>Día 30</w:t>
            </w:r>
          </w:p>
        </w:tc>
        <w:tc>
          <w:tcPr>
            <w:tcW w:w="3240" w:type="dxa"/>
          </w:tcPr>
          <w:p>
            <w:pPr>
              <w:spacing w:after="0"/>
            </w:pPr>
            <w:r>
              <w:t>Llamada y propuesta de fraccionamiento</w:t>
            </w:r>
          </w:p>
        </w:tc>
        <w:tc>
          <w:tcPr>
            <w:tcW w:w="3744" w:type="dxa"/>
          </w:tcPr>
          <w:p>
            <w:pPr>
              <w:spacing w:after="0"/>
            </w:pPr>
            <w:r>
              <w:t>Teléfono + email de resumen</w:t>
            </w:r>
          </w:p>
        </w:tc>
      </w:tr>
      <w:tr>
        <w:tc>
          <w:tcPr>
            <w:tcW w:w="1944" w:type="dxa"/>
          </w:tcPr>
          <w:p>
            <w:pPr>
              <w:spacing w:after="0"/>
            </w:pPr>
            <w:r>
              <w:t>Día 60</w:t>
            </w:r>
          </w:p>
        </w:tc>
        <w:tc>
          <w:tcPr>
            <w:tcW w:w="3240" w:type="dxa"/>
          </w:tcPr>
          <w:p>
            <w:pPr>
              <w:spacing w:after="0"/>
            </w:pPr>
            <w:r>
              <w:t>Comunicación previa a la reclamación judicial</w:t>
            </w:r>
          </w:p>
        </w:tc>
        <w:tc>
          <w:tcPr>
            <w:tcW w:w="3744" w:type="dxa"/>
          </w:tcPr>
          <w:p>
            <w:pPr>
              <w:spacing w:after="0"/>
            </w:pPr>
            <w:r>
              <w:t>Burofax (Plantilla 3)</w:t>
            </w:r>
          </w:p>
        </w:tc>
      </w:tr>
      <w:tr>
        <w:tc>
          <w:tcPr>
            <w:tcW w:w="1944" w:type="dxa"/>
          </w:tcPr>
          <w:p>
            <w:pPr>
              <w:spacing w:after="0"/>
            </w:pPr>
            <w:r>
              <w:t>Día 90</w:t>
            </w:r>
          </w:p>
        </w:tc>
        <w:tc>
          <w:tcPr>
            <w:tcW w:w="3240" w:type="dxa"/>
          </w:tcPr>
          <w:p>
            <w:pPr>
              <w:spacing w:after="0"/>
            </w:pPr>
            <w:r>
              <w:t>Proceso monitorio</w:t>
            </w:r>
          </w:p>
        </w:tc>
        <w:tc>
          <w:tcPr>
            <w:tcW w:w="3744" w:type="dxa"/>
          </w:tcPr>
          <w:p>
            <w:pPr>
              <w:spacing w:after="0"/>
            </w:pPr>
            <w:r>
              <w:t>Sede Judicial Electrónica</w:t>
            </w:r>
          </w:p>
        </w:tc>
      </w:tr>
    </w:tbl>
    <w:p/>
    <w:p>
      <w:pPr>
        <w:pStyle w:val="Heading1"/>
      </w:pPr>
      <w:r>
        <w:t>3 · Qué es el proceso monitorio</w:t>
      </w:r>
    </w:p>
    <w:tbl>
      <w:tblPr>
        <w:tblStyle w:val="TableGrid"/>
        <w:tblW w:w="8928" w:type="dxa"/>
        <w:tblLayout w:type="fixed"/>
        <w:tblLook w:val="04A0" w:firstRow="1" w:lastRow="0" w:firstColumn="1" w:lastColumn="0" w:noHBand="0" w:noVBand="1"/>
      </w:tblPr>
      <w:tblGrid>
        <w:gridCol w:w="2448"/>
        <w:gridCol w:w="6480"/>
      </w:tblGrid>
      <w:tr>
        <w:trPr>
          <w:tblHeader/>
        </w:trPr>
        <w:tc>
          <w:tcPr>
            <w:tcW w:w="2448" w:type="dxa"/>
            <w:shd w:val="clear" w:color="auto" w:fill="F2F2F2"/>
          </w:tcPr>
          <w:p>
            <w:pPr>
              <w:spacing w:after="0"/>
            </w:pPr>
            <w:r>
              <w:rPr>
                <w:b/>
                <w:bCs/>
              </w:rPr>
              <w:t>Clave</w:t>
            </w:r>
          </w:p>
        </w:tc>
        <w:tc>
          <w:tcPr>
            <w:tcW w:w="6480" w:type="dxa"/>
            <w:shd w:val="clear" w:color="auto" w:fill="F2F2F2"/>
          </w:tcPr>
          <w:p>
            <w:pPr>
              <w:spacing w:after="0"/>
            </w:pPr>
            <w:r>
              <w:rPr>
                <w:b/>
                <w:bCs/>
              </w:rPr>
              <w:t>Qué debes saber</w:t>
            </w:r>
          </w:p>
        </w:tc>
      </w:tr>
      <w:tr>
        <w:tc>
          <w:tcPr>
            <w:tcW w:w="2448" w:type="dxa"/>
          </w:tcPr>
          <w:p>
            <w:pPr>
              <w:spacing w:after="0"/>
            </w:pPr>
            <w:r>
              <w:t>Para qué sirve</w:t>
            </w:r>
          </w:p>
        </w:tc>
        <w:tc>
          <w:tcPr>
            <w:tcW w:w="6480" w:type="dxa"/>
          </w:tcPr>
          <w:p>
            <w:pPr>
              <w:spacing w:after="0"/>
            </w:pPr>
            <w:r>
              <w:t>Reclamar una deuda dineraria líquida, determinada, vencida y exigible (artículo 812 de la Ley de Enjuiciamiento Civil).</w:t>
            </w:r>
          </w:p>
        </w:tc>
      </w:tr>
      <w:tr>
        <w:tc>
          <w:tcPr>
            <w:tcW w:w="2448" w:type="dxa"/>
          </w:tcPr>
          <w:p>
            <w:pPr>
              <w:spacing w:after="0"/>
            </w:pPr>
            <w:r>
              <w:t>Cuantía</w:t>
            </w:r>
          </w:p>
        </w:tc>
        <w:tc>
          <w:tcPr>
            <w:tcW w:w="6480" w:type="dxa"/>
          </w:tcPr>
          <w:p>
            <w:pPr>
              <w:spacing w:after="0"/>
            </w:pPr>
            <w:r>
              <w:t>Cualquiera, sin límite mínimo ni máximo.</w:t>
            </w:r>
          </w:p>
        </w:tc>
      </w:tr>
      <w:tr>
        <w:tc>
          <w:tcPr>
            <w:tcW w:w="2448" w:type="dxa"/>
          </w:tcPr>
          <w:p>
            <w:pPr>
              <w:spacing w:after="0"/>
            </w:pPr>
            <w:r>
              <w:t>¿Necesito abogado?</w:t>
            </w:r>
          </w:p>
        </w:tc>
        <w:tc>
          <w:tcPr>
            <w:tcW w:w="6480" w:type="dxa"/>
          </w:tcPr>
          <w:p>
            <w:pPr>
              <w:spacing w:after="0"/>
            </w:pPr>
            <w:r>
              <w:t>No para presentarlo. Si el deudor se opone y el caso pasa a juicio verbal, sí es preceptivo si la deuda supera los 2.000 €.</w:t>
            </w:r>
          </w:p>
        </w:tc>
      </w:tr>
      <w:tr>
        <w:tc>
          <w:tcPr>
            <w:tcW w:w="2448" w:type="dxa"/>
          </w:tcPr>
          <w:p>
            <w:pPr>
              <w:spacing w:after="0"/>
            </w:pPr>
            <w:r>
              <w:t>Plazo del deudor</w:t>
            </w:r>
          </w:p>
        </w:tc>
        <w:tc>
          <w:tcPr>
            <w:tcW w:w="6480" w:type="dxa"/>
          </w:tcPr>
          <w:p>
            <w:pPr>
              <w:spacing w:after="0"/>
            </w:pPr>
            <w:r>
              <w:t>20 días para pagar u oponerse desde el requerimiento.</w:t>
            </w:r>
          </w:p>
        </w:tc>
      </w:tr>
      <w:tr>
        <w:tc>
          <w:tcPr>
            <w:tcW w:w="2448" w:type="dxa"/>
          </w:tcPr>
          <w:p>
            <w:pPr>
              <w:spacing w:after="0"/>
            </w:pPr>
            <w:r>
              <w:t>Si no paga ni se opone</w:t>
            </w:r>
          </w:p>
        </w:tc>
        <w:tc>
          <w:tcPr>
            <w:tcW w:w="6480" w:type="dxa"/>
          </w:tcPr>
          <w:p>
            <w:pPr>
              <w:spacing w:after="0"/>
            </w:pPr>
            <w:r>
              <w:t>Se abre la vía de ejecución y se puede embargar.</w:t>
            </w:r>
          </w:p>
        </w:tc>
      </w:tr>
      <w:tr>
        <w:tc>
          <w:tcPr>
            <w:tcW w:w="2448" w:type="dxa"/>
          </w:tcPr>
          <w:p>
            <w:pPr>
              <w:spacing w:after="0"/>
            </w:pPr>
            <w:r>
              <w:t>Tasa judicial</w:t>
            </w:r>
          </w:p>
        </w:tc>
        <w:tc>
          <w:tcPr>
            <w:tcW w:w="6480" w:type="dxa"/>
          </w:tcPr>
          <w:p>
            <w:pPr>
              <w:spacing w:after="0"/>
            </w:pPr>
            <w:r>
              <w:t>El autónomo persona física no paga tasa judicial.</w:t>
            </w:r>
          </w:p>
        </w:tc>
      </w:tr>
    </w:tbl>
    <w:p/>
    <w:p>
      <w:pPr>
        <w:pStyle w:val="Heading1"/>
      </w:pPr>
      <w:r>
        <w:t>4 · Tus 3 plantillas</w:t>
      </w:r>
    </w:p>
    <w:p>
      <w:pPr>
        <w:pStyle w:val="Heading2"/>
      </w:pPr>
      <w:r>
        <w:t>Plantilla 1 · Recordatorio amable (día 1)</w:t>
      </w:r>
    </w:p>
    <w:p>
      <w:pPr>
        <w:pBdr>
          <w:top w:val="single" w:sz="48" w:space="4" w:color="D9C79B"/>
          <w:left w:val="single" w:sz="48" w:space="4" w:color="D9C79B"/>
          <w:bottom w:val="single" w:sz="48" w:space="4" w:color="D9C79B"/>
          <w:right w:val="single" w:sz="48" w:space="4" w:color="D9C79B"/>
        </w:pBdr>
        <w:shd w:val="clear" w:color="auto" w:fill="F3E8D2"/>
        <w:spacing w:before="120" w:after="160"/>
        <w:ind w:left="144" w:right="144"/>
      </w:pPr>
      <w:r>
        <w:rPr>
          <w:b/>
          <w:bCs/>
        </w:rPr>
        <w:t xml:space="preserve">Asunto: </w:t>
      </w:r>
      <w:r>
        <w:t>Recordatorio de la factura [Nº] — [importe] €</w:t>
        <w:br/>
        <w:br/>
      </w:r>
      <w:r>
        <w:t>Hola [nombre]:</w:t>
        <w:br/>
      </w:r>
      <w:r>
        <w:t>Espero que estés bien. Te escribo porque la factura [Nº], de [importe] € y con vencimiento el [fecha], aún no consta como abonada. Puede que se haya traspapelado.</w:t>
        <w:br/>
      </w:r>
      <w:r>
        <w:t>¿Me confirmas que la tienes en tu circuito de pagos? Si necesitas la factura de nuevo, te la reenvío encantado.</w:t>
        <w:br/>
      </w:r>
      <w:r>
        <w:t>Un saludo,</w:t>
        <w:br/>
        <w:t>[Tu nombre]</w:t>
      </w:r>
    </w:p>
    <w:p>
      <w:pPr>
        <w:pStyle w:val="Heading2"/>
      </w:pPr>
      <w:r>
        <w:t>Plantilla 2 · Requerimiento formal de pago (día 15)</w:t>
      </w:r>
    </w:p>
    <w:p>
      <w:pPr>
        <w:pBdr>
          <w:top w:val="single" w:sz="48" w:space="4" w:color="D9C79B"/>
          <w:left w:val="single" w:sz="48" w:space="4" w:color="D9C79B"/>
          <w:bottom w:val="single" w:sz="48" w:space="4" w:color="D9C79B"/>
          <w:right w:val="single" w:sz="48" w:space="4" w:color="D9C79B"/>
        </w:pBdr>
        <w:shd w:val="clear" w:color="auto" w:fill="F3E8D2"/>
        <w:spacing w:before="120" w:after="160"/>
        <w:ind w:left="144" w:right="144"/>
      </w:pPr>
      <w:r>
        <w:rPr>
          <w:b/>
          <w:bCs/>
        </w:rPr>
        <w:t xml:space="preserve">Asunto: </w:t>
      </w:r>
      <w:r>
        <w:t>Requerimiento de pago — Factura [Nº] — [importe] €</w:t>
        <w:br/>
        <w:br/>
      </w:r>
      <w:r>
        <w:t>Estimado/a [nombre]:</w:t>
        <w:br/>
      </w:r>
      <w:r>
        <w:t>Les requerimos formalmente para el pago de la factura [Nº], emitida el [fecha], por importe de [importe] €, cuyo vencimiento se produjo el [fecha] y que a esta fecha continúa impagada.</w:t>
        <w:br/>
      </w:r>
      <w:r>
        <w:t>De acuerdo con la Ley 3/2004, de lucha contra la morosidad, el plazo de pago no puede exceder de 60 días. El retraso devenga intereses de demora.</w:t>
        <w:br/>
      </w:r>
      <w:r>
        <w:t>Les concedemos un plazo de 10 días hábiles desde la recepción de esta comunicación para proceder al pago. Transcurrido dicho plazo, iniciaremos las acciones legales oportunas, incluido el proceso monitorio, con reclamación de los intereses y las costas que procedan.</w:t>
        <w:br/>
      </w:r>
      <w:r>
        <w:t>Datos para el pago: [IBAN]</w:t>
        <w:br/>
        <w:br/>
      </w:r>
      <w:r>
        <w:t>Atentamente,</w:t>
        <w:br/>
        <w:t>[Tu nombre / tu empresa]</w:t>
      </w:r>
    </w:p>
    <w:p>
      <w:pPr>
        <w:pStyle w:val="Heading2"/>
      </w:pPr>
      <w:r>
        <w:t>Plantilla 3 · Comunicación previa a la reclamación judicial (día 60)</w:t>
      </w:r>
    </w:p>
    <w:p>
      <w:pPr>
        <w:pBdr>
          <w:top w:val="single" w:sz="48" w:space="4" w:color="D9C79B"/>
          <w:left w:val="single" w:sz="48" w:space="4" w:color="D9C79B"/>
          <w:bottom w:val="single" w:sz="48" w:space="4" w:color="D9C79B"/>
          <w:right w:val="single" w:sz="48" w:space="4" w:color="D9C79B"/>
        </w:pBdr>
        <w:shd w:val="clear" w:color="auto" w:fill="F3E8D2"/>
        <w:spacing w:before="120" w:after="160"/>
        <w:ind w:left="144" w:right="144"/>
      </w:pPr>
      <w:r>
        <w:rPr>
          <w:b/>
          <w:bCs/>
        </w:rPr>
        <w:t xml:space="preserve">Asunto: </w:t>
      </w:r>
      <w:r>
        <w:t>Última comunicación antes de la reclamación judicial — Factura [Nº]</w:t>
        <w:br/>
        <w:br/>
      </w:r>
      <w:r>
        <w:t>Muy señores nuestros:</w:t>
        <w:br/>
      </w:r>
      <w:r>
        <w:t>A pesar de nuestros requerimientos previos de [fechas], la factura [Nº] por importe de [importe] € continúa impagada.</w:t>
        <w:br/>
      </w:r>
      <w:r>
        <w:t>Sin un pago íntegro en el plazo de 7 días naturales desde la recepción de este escrito, presentaremos una petición de proceso monitorio ante el juzgado competente, al amparo del artículo 812 de la Ley de Enjuiciamiento Civil, con reclamación del principal, los intereses de demora y las costas.</w:t>
        <w:br/>
      </w:r>
      <w:r>
        <w:t>Estamos, no obstante, abiertos a alcanzar un acuerdo de pago si nos lo proponen antes de esa fecha.</w:t>
        <w:br/>
        <w:br/>
      </w:r>
      <w:r>
        <w:t>Atentamente,</w:t>
        <w:br/>
        <w:t>[Tu nombre / tu empresa]</w:t>
      </w:r>
    </w:p>
    <w:p>
      <w:pPr>
        <w:pStyle w:val="Heading1"/>
      </w:pPr>
      <w:r>
        <w:t>5 · Errores típicos</w:t>
      </w:r>
    </w:p>
    <w:p>
      <w:pPr>
        <w:pStyle w:val="ListParagraph"/>
        <w:numPr>
          <w:ilvl w:val="0"/>
          <w:numId w:val="1"/>
        </w:numPr>
      </w:pPr>
      <w:r>
        <w:rPr>
          <w:sz w:val="21"/>
          <w:szCs w:val="21"/>
        </w:rPr>
        <w:t>Reclamar solo por teléfono: sin rastro escrito no hay prueba.</w:t>
      </w:r>
    </w:p>
    <w:p>
      <w:pPr>
        <w:pStyle w:val="ListParagraph"/>
        <w:numPr>
          <w:ilvl w:val="0"/>
          <w:numId w:val="1"/>
        </w:numPr>
      </w:pPr>
      <w:r>
        <w:rPr>
          <w:sz w:val="21"/>
          <w:szCs w:val="21"/>
        </w:rPr>
        <w:t>Mezclar la reclamación con la relación personal.</w:t>
      </w:r>
    </w:p>
    <w:p>
      <w:pPr>
        <w:pStyle w:val="ListParagraph"/>
        <w:numPr>
          <w:ilvl w:val="0"/>
          <w:numId w:val="1"/>
        </w:numPr>
      </w:pPr>
      <w:r>
        <w:rPr>
          <w:sz w:val="21"/>
          <w:szCs w:val="21"/>
        </w:rPr>
        <w:t>Dejar pasar meses: cuanto más tiempo, más difícil y más caro.</w:t>
      </w:r>
    </w:p>
    <w:p>
      <w:pPr>
        <w:pStyle w:val="ListParagraph"/>
        <w:numPr>
          <w:ilvl w:val="0"/>
          <w:numId w:val="1"/>
        </w:numPr>
      </w:pPr>
      <w:r>
        <w:rPr>
          <w:sz w:val="21"/>
          <w:szCs w:val="21"/>
        </w:rPr>
        <w:t>No conservar albaranes, contratos firmados o correos.</w:t>
      </w:r>
    </w:p>
    <w:p>
      <w:pPr>
        <w:pBdr>
          <w:top w:val="single" w:sz="48" w:space="4" w:color="D9C79B"/>
          <w:left w:val="single" w:sz="48" w:space="4" w:color="D9C79B"/>
          <w:bottom w:val="single" w:sz="48" w:space="4" w:color="D9C79B"/>
          <w:right w:val="single" w:sz="48" w:space="4" w:color="D9C79B"/>
        </w:pBdr>
        <w:shd w:val="clear" w:color="auto" w:fill="FBF6EC"/>
        <w:spacing w:before="120" w:after="160"/>
        <w:ind w:left="144" w:right="144"/>
      </w:pPr>
      <w:r>
        <w:rPr>
          <w:b/>
          <w:bCs/>
          <w:color w:val="14315C"/>
        </w:rPr>
        <w:t xml:space="preserve">Cómo te ayuda UNAMUR — </w:t>
      </w:r>
      <w:r>
        <w:t>el área Legal de la asociación te orienta en reclamaciones de impago, extrajudiciales y judiciales, y pone a tu disposición modelos y acompañamiento.</w:t>
      </w:r>
    </w:p>
    <w:p>
      <w:pPr>
        <w:pStyle w:val="Heading2"/>
      </w:pPr>
      <w:r>
        <w:t>Fuentes consultadas</w:t>
      </w:r>
    </w:p>
    <w:p>
      <w:pPr>
        <w:pStyle w:val="ListParagraph"/>
        <w:numPr>
          <w:ilvl w:val="0"/>
          <w:numId w:val="1"/>
        </w:numPr>
      </w:pPr>
      <w:r>
        <w:rPr>
          <w:color w:val="5A6472"/>
          <w:sz w:val="19"/>
          <w:szCs w:val="19"/>
        </w:rPr>
        <w:t>Artículo 812 de la Ley de Enjuiciamiento Civil (LEC): proceso monitorio.</w:t>
      </w:r>
    </w:p>
    <w:p>
      <w:pPr>
        <w:pStyle w:val="ListParagraph"/>
        <w:numPr>
          <w:ilvl w:val="0"/>
          <w:numId w:val="1"/>
        </w:numPr>
      </w:pPr>
      <w:r>
        <w:rPr>
          <w:color w:val="5A6472"/>
          <w:sz w:val="19"/>
          <w:szCs w:val="19"/>
        </w:rPr>
        <w:t>Ley 3/2004, de 29 de diciembre, de lucha contra la morosidad en las operaciones comerciales.</w:t>
      </w:r>
    </w:p>
    <w:p>
      <w:pPr>
        <w:pStyle w:val="ListParagraph"/>
        <w:numPr>
          <w:ilvl w:val="0"/>
          <w:numId w:val="1"/>
        </w:numPr>
      </w:pPr>
      <w:r>
        <w:rPr>
          <w:color w:val="5A6472"/>
          <w:sz w:val="19"/>
          <w:szCs w:val="19"/>
        </w:rPr>
        <w:t>Sede Judicial Electrónica (sedejudicial.justicia.es): presentación del procedimiento monitorio.</w:t>
      </w:r>
    </w:p>
    <w:p>
      <w:pPr>
        <w:pStyle w:val="Heading2"/>
      </w:pPr>
      <w:r>
        <w:t>Aviso legal</w:t>
      </w:r>
    </w:p>
    <w:p>
      <w:pPr>
        <w:pBdr>
          <w:top w:val="single" w:sz="48" w:space="4" w:color="D9C79B"/>
          <w:left w:val="single" w:sz="48" w:space="4" w:color="D9C79B"/>
          <w:bottom w:val="single" w:sz="48" w:space="4" w:color="D9C79B"/>
          <w:right w:val="single" w:sz="48" w:space="4" w:color="D9C79B"/>
        </w:pBdr>
        <w:shd w:val="clear" w:color="auto" w:fill="FBF6EC"/>
        <w:spacing w:before="120" w:after="160"/>
        <w:ind w:left="144" w:right="144"/>
      </w:pPr>
      <w:r>
        <w:rPr>
          <w:b/>
          <w:bCs/>
        </w:rPr>
        <w:t xml:space="preserve">UNAMUR ofrece esta guía con carácter exclusivamente informativo y orientativo. </w:t>
      </w:r>
      <w:r>
        <w:t>No constituye asesoramiento fiscal, laboral, jurídico ni financiero personalizado, ni sustituye la consulta con un profesional colegiado. La normativa citada puede cambiar; verifica siempre la información en las fuentes oficiales (BOE, AEAT, Seguridad Social, Sede Judicial Electrónica).</w:t>
      </w:r>
    </w:p>
    <w:p>
      <w:pPr>
        <w:spacing w:before="200"/>
        <w:jc w:val="center"/>
      </w:pPr>
      <w:r>
        <w:rPr>
          <w:color w:val="5A6472"/>
          <w:sz w:val="17"/>
          <w:szCs w:val="17"/>
        </w:rPr>
        <w:t>UNAMUR · Unión de Autónomos y Pymes de la Región de Murcia  ·  unamur.es</w:t>
      </w:r>
    </w:p>
    <w:sectPr>
      <w:headerReference w:type="default" r:id="rId5"/>
      <w:headerReference w:type="first" r:id="rId6"/>
      <w:footerReference w:type="default" r:id="rId7"/>
      <w:footerReference w:type="first" r:id="rId8"/>
      <w:pgSz w:w="11906" w:h="16838"/>
      <w:pgMar w:top="1440" w:right="1440" w:bottom="1440" w:left="1440" w:header="720" w:footer="720" w:gutter="0"/>
      <w:cols w:space="708"/>
      <w:titlePg/>
      <w:docGrid w:linePitch="360"/>
    </w:sectPr>
  </w:body>
</w:document>
</file>

<file path=word/fontTable.xml><?xml version="1.0" encoding="utf-8"?>
<w:fonts xmlns:w="http://schemas.openxmlformats.org/wordprocessingml/2006/main">
  <w:font w:name="Calibri"/>
  <w:font w:name="Noto Sans CJK SC"/>
  <w:font w:name="Courier New"/>
  <w:font w:name="Noto Sans Mono CJK SC"/>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jc w:val="center"/>
    </w:pPr>
    <w:fldSimple w:instr=" PAGE ">
      <w:r>
        <w:t>1</w:t>
      </w:r>
    </w:fldSimple>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jc w:val="center"/>
    </w:pPr>
    <w:fldSimple w:instr=" PAGE ">
      <w:r>
        <w:t>1</w:t>
      </w:r>
    </w:fldSimple>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jc w:val="left"/>
    </w:pPr>
    <w:r>
      <w:t>UNAMUR  ·  Guía práctica para autónomos y pymes</w:t>
    </w:r>
  </w:p>
</w:hdr>
</file>

<file path=word/header2.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eastAsia="Noto Sans CJK SC" w:cs="Calibri"/>
        <w:sz w:val="22"/>
        <w:szCs w:val="22"/>
        <w:lang w:val="en-US"/>
      </w:rPr>
    </w:rPrDefault>
    <w:pPrDefault>
      <w:pPr>
        <w:spacing w:after="160" w:line="259" w:lineRule="auto"/>
      </w:pPr>
    </w:pPrDefault>
  </w:docDefaults>
  <w:style w:type="paragraph" w:styleId="Normal" w:default="1">
    <w:name w:val="Normal"/>
    <w:qFormat/>
  </w:style>
  <w:style w:type="character" w:styleId="DefaultParagraphFont" w:default="1">
    <w:name w:val="Default Paragraph Font"/>
  </w:style>
  <w:style w:type="paragraph" w:styleId="Title">
    <w:name w:val="Title"/>
    <w:basedOn w:val="Normal"/>
    <w:qFormat/>
    <w:pPr>
      <w:spacing w:before="0" w:after="120"/>
    </w:pPr>
    <w:rPr>
      <w:color w:val="14315C"/>
      <w:sz w:val="56"/>
      <w:szCs w:val="56"/>
    </w:rPr>
  </w:style>
  <w:style w:type="paragraph" w:styleId="Subtitle">
    <w:name w:val="Subtitle"/>
    <w:basedOn w:val="Normal"/>
    <w:qFormat/>
    <w:pPr>
      <w:spacing w:after="160"/>
    </w:pPr>
    <w:rPr>
      <w:color w:val="595959"/>
      <w:sz w:val="28"/>
      <w:szCs w:val="28"/>
    </w:rPr>
  </w:style>
  <w:style w:type="paragraph" w:styleId="Heading1">
    <w:name w:val="heading 1"/>
    <w:basedOn w:val="Normal"/>
    <w:qFormat/>
    <w:pPr>
      <w:keepNext/>
      <w:keepLines/>
      <w:spacing w:before="240" w:after="80"/>
      <w:outlineLvl w:val="0"/>
    </w:pPr>
    <w:rPr>
      <w:b/>
      <w:bCs/>
      <w:color w:val="14315C"/>
      <w:sz w:val="32"/>
      <w:szCs w:val="32"/>
    </w:rPr>
  </w:style>
  <w:style w:type="paragraph" w:styleId="Heading2">
    <w:name w:val="heading 2"/>
    <w:basedOn w:val="Normal"/>
    <w:qFormat/>
    <w:pPr>
      <w:keepNext/>
      <w:keepLines/>
      <w:spacing w:before="200" w:after="80"/>
      <w:outlineLvl w:val="1"/>
    </w:pPr>
    <w:rPr>
      <w:b/>
      <w:bCs/>
      <w:color w:val="14315C"/>
      <w:sz w:val="26"/>
      <w:szCs w:val="26"/>
    </w:rPr>
  </w:style>
  <w:style w:type="paragraph" w:styleId="Heading3">
    <w:name w:val="heading 3"/>
    <w:basedOn w:val="Normal"/>
    <w:qFormat/>
    <w:pPr>
      <w:keepNext/>
      <w:keepLines/>
      <w:spacing w:before="160" w:after="80"/>
      <w:outlineLvl w:val="2"/>
    </w:pPr>
    <w:rPr>
      <w:b/>
      <w:bCs/>
      <w:color w:val="14315C"/>
      <w:sz w:val="24"/>
      <w:szCs w:val="24"/>
    </w:rPr>
  </w:style>
  <w:style w:type="paragraph" w:styleId="Heading4">
    <w:name w:val="heading 4"/>
    <w:basedOn w:val="Normal"/>
    <w:qFormat/>
    <w:pPr>
      <w:keepNext/>
      <w:keepLines/>
      <w:spacing w:before="160" w:after="40"/>
      <w:outlineLvl w:val="3"/>
    </w:pPr>
    <w:rPr>
      <w:b/>
      <w:bCs/>
      <w:i/>
      <w:iCs/>
      <w:color w:val="2F5496"/>
      <w:sz w:val="22"/>
      <w:szCs w:val="22"/>
    </w:rPr>
  </w:style>
  <w:style w:type="paragraph" w:styleId="Heading5">
    <w:name w:val="heading 5"/>
    <w:basedOn w:val="Normal"/>
    <w:qFormat/>
    <w:pPr>
      <w:keepNext/>
      <w:keepLines/>
      <w:spacing w:before="120" w:after="40"/>
      <w:outlineLvl w:val="4"/>
    </w:pPr>
    <w:rPr>
      <w:b/>
      <w:bCs/>
      <w:color w:val="1F3864"/>
      <w:sz w:val="22"/>
      <w:szCs w:val="22"/>
    </w:rPr>
  </w:style>
  <w:style w:type="paragraph" w:styleId="Heading6">
    <w:name w:val="heading 6"/>
    <w:basedOn w:val="Normal"/>
    <w:qFormat/>
    <w:pPr>
      <w:keepNext/>
      <w:keepLines/>
      <w:spacing w:before="120" w:after="40"/>
      <w:outlineLvl w:val="5"/>
    </w:pPr>
    <w:rPr>
      <w:i/>
      <w:iCs/>
      <w:color w:val="1F3864"/>
      <w:sz w:val="22"/>
      <w:szCs w:val="22"/>
    </w:rPr>
  </w:style>
  <w:style w:type="paragraph" w:styleId="Quote">
    <w:name w:val="Quote"/>
    <w:basedOn w:val="Normal"/>
    <w:qFormat/>
    <w:pPr>
      <w:pBdr>
        <w:left w:val="single" w:sz="24" w:space="8" w:color="CCCCCC"/>
      </w:pBdr>
      <w:spacing w:before="80" w:after="160"/>
      <w:ind w:left="360"/>
    </w:pPr>
    <w:rPr>
      <w:color w:val="595959"/>
    </w:rPr>
  </w:style>
  <w:style w:type="paragraph" w:styleId="Code">
    <w:name w:val="Code"/>
    <w:basedOn w:val="Normal"/>
    <w:qFormat/>
    <w:pPr>
      <w:keepLines/>
      <w:shd w:val="clear" w:color="auto" w:fill="F2F2F2"/>
      <w:spacing w:before="120" w:after="120" w:line="240" w:lineRule="auto"/>
    </w:pPr>
    <w:rPr>
      <w:rFonts w:ascii="Courier New" w:hAnsi="Courier New" w:eastAsia="Noto Sans Mono CJK SC" w:cs="Courier New"/>
      <w:sz w:val="19"/>
      <w:szCs w:val="19"/>
    </w:rPr>
  </w:style>
  <w:style w:type="character" w:styleId="CodeChar">
    <w:name w:val="Code Char"/>
    <w:rPr>
      <w:rFonts w:ascii="Courier New" w:hAnsi="Courier New" w:eastAsia="Noto Sans Mono CJK SC" w:cs="Courier New"/>
      <w:shd w:val="clear" w:color="auto" w:fill="F2F2F2"/>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Header">
    <w:name w:val="header"/>
    <w:basedOn w:val="Normal"/>
    <w:qFormat/>
    <w:pPr>
      <w:spacing w:after="0"/>
    </w:pPr>
  </w:style>
  <w:style w:type="paragraph" w:styleId="Footer">
    <w:name w:val="footer"/>
    <w:basedOn w:val="Normal"/>
    <w:qFormat/>
    <w:pPr>
      <w:spacing w:after="0"/>
    </w:pPr>
  </w:style>
  <w:style w:type="paragraph" w:styleId="TOCHeading">
    <w:name w:val="TOC Heading"/>
    <w:basedOn w:val="Normal"/>
    <w:qFormat/>
    <w:pPr>
      <w:keepNext/>
      <w:spacing w:before="240" w:after="80"/>
    </w:pPr>
    <w:rPr>
      <w:b/>
      <w:bCs/>
      <w:color w:val="2F5496"/>
      <w:sz w:val="32"/>
      <w:szCs w:val="32"/>
    </w:rPr>
  </w:style>
  <w:style w:type="paragraph" w:styleId="FootnoteText">
    <w:name w:val="footnote text"/>
    <w:basedOn w:val="Normal"/>
    <w:qFormat/>
    <w:pPr>
      <w:spacing w:after="0" w:line="240" w:lineRule="auto"/>
    </w:pPr>
    <w:rPr>
      <w:sz w:val="18"/>
      <w:szCs w:val="18"/>
    </w:rPr>
  </w:style>
  <w:style w:type="character" w:styleId="FootnoteReference">
    <w:name w:val="footnote reference"/>
    <w:rPr>
      <w:vertAlign w:val="superscript"/>
    </w:rPr>
  </w:style>
  <w:style w:type="paragraph" w:styleId="EndnoteText">
    <w:name w:val="endnote text"/>
    <w:basedOn w:val="Normal"/>
    <w:qFormat/>
    <w:pPr>
      <w:spacing w:after="0" w:line="240" w:lineRule="auto"/>
    </w:pPr>
    <w:rPr>
      <w:sz w:val="18"/>
      <w:szCs w:val="18"/>
    </w:rPr>
  </w:style>
  <w:style w:type="character" w:styleId="EndnoteReference">
    <w:name w:val="endnote reference"/>
    <w:rPr>
      <w:vertAlign w:val="superscript"/>
    </w:rPr>
  </w:style>
  <w:style w:type="paragraph" w:styleId="Caption">
    <w:name w:val="caption"/>
    <w:basedOn w:val="Normal"/>
    <w:qFormat/>
    <w:pPr>
      <w:keepNext/>
      <w:spacing w:after="200"/>
    </w:pPr>
    <w:rPr>
      <w:i/>
      <w:iCs/>
      <w:color w:val="44546A"/>
      <w:sz w:val="18"/>
      <w:szCs w:val="18"/>
    </w:rPr>
  </w:style>
  <w:style w:type="table" w:styleId="TableNormal" w:default="1">
    <w:name w:val="Normal Table"/>
    <w:tblPr>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1.png"/></Relationships>
</file>

<file path=docProps/app.xml><?xml version="1.0" encoding="utf-8"?>
<Properties xmlns="http://schemas.openxmlformats.org/officeDocument/2006/extended-properties">
  <Application>gendocx</Application>
</Properties>
</file>

<file path=docProps/core.xml><?xml version="1.0" encoding="utf-8"?>
<cp:coreProperties xmlns:cp="http://schemas.openxmlformats.org/package/2006/metadata/core-properties" xmlns:dc="http://purl.org/dc/elements/1.1/" xmlns:dcterms="http://purl.org/dc/terms/" xmlns:xsi="http://www.w3.org/2001/XMLSchema-instance">
  <dc:title>Protocolo Anti-Impagos</dc:title>
  <dc:creator>gendocx</dc:creator>
  <cp:lastModifiedBy>gendocx</cp:lastModifiedBy>
  <dcterms:created xsi:type="dcterms:W3CDTF">2026-01-01T00:00:00Z</dcterms:created>
  <dcterms:modified xsi:type="dcterms:W3CDTF">2026-01-01T00:00:00Z</dcterms:modified>
</cp:coreProperties>
</file>