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>
  <w:body>
    <w:p>
      <w:r>
        <w:drawing>
          <wp:inline distT="0" distB="0" distL="0" distR="0">
            <wp:extent cx="1554480" cy="570052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554480" cy="570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</w:pPr>
      <w:r>
        <w:rPr>
          <w:b/>
          <w:bCs/>
          <w:color w:val="5A6472"/>
          <w:sz w:val="18"/>
          <w:szCs w:val="18"/>
        </w:rPr>
        <w:t>Unión de Autónomos y Pymes de la Región de Murcia</w:t>
      </w:r>
    </w:p>
    <w:p>
      <w:pPr>
        <w:pStyle w:val="Title"/>
      </w:pPr>
      <w:r>
        <w:t>Calendario Fiscal 2027 del Autónomo</w:t>
      </w:r>
    </w:p>
    <w:p>
      <w:pPr>
        <w:pStyle w:val="Subtitle"/>
      </w:pPr>
      <w:r>
        <w:t>Todas las fechas que no puedes dejar pasar · Guía práctica UNAMUR</w:t>
      </w:r>
    </w:p>
    <w:p>
      <w:pPr>
        <w:pBdr>
          <w:top w:val="single" w:sz="48" w:space="4" w:color="B8963E"/>
          <w:left w:val="single" w:sz="48" w:space="4" w:color="B8963E"/>
          <w:bottom w:val="single" w:sz="48" w:space="4" w:color="B8963E"/>
          <w:right w:val="single" w:sz="48" w:space="4" w:color="B8963E"/>
        </w:pBdr>
        <w:shd w:val="clear" w:color="auto" w:fill="F3E8D2"/>
        <w:spacing w:before="120" w:after="160"/>
        <w:ind w:left="144" w:right="144"/>
      </w:pPr>
      <w:r>
        <w:rPr>
          <w:b/>
          <w:bCs/>
          <w:color w:val="14315C"/>
        </w:rPr>
        <w:t>Verificado por UNAMUR · Octubre de 2026</w:t>
      </w:r>
    </w:p>
    <w:p>
      <w:r>
        <w:rPr>
          <w:sz w:val="22"/>
          <w:szCs w:val="22"/>
        </w:rPr>
        <w:t>Presentar fuera de plazo se paga, y se paga caro. Cada trimestre tiene su fecha y cada fecha, su recargo. Esta guía reúne en una sola página todas las fechas clave del autónomo para 2027, con el modelo que toca en cada una.</w:t>
      </w:r>
    </w:p>
    <w:p>
      <w:pPr>
        <w:pBdr>
          <w:top w:val="single" w:sz="48" w:space="4" w:color="D9C79B"/>
          <w:left w:val="single" w:sz="48" w:space="4" w:color="D9C79B"/>
          <w:bottom w:val="single" w:sz="48" w:space="4" w:color="D9C79B"/>
          <w:right w:val="single" w:sz="48" w:space="4" w:color="D9C79B"/>
        </w:pBdr>
        <w:shd w:val="clear" w:color="auto" w:fill="F3E8D2"/>
        <w:spacing w:before="120" w:after="160"/>
        <w:ind w:left="144" w:right="144"/>
      </w:pPr>
      <w:r>
        <w:rPr>
          <w:b/>
          <w:bCs/>
          <w:color w:val="B8963E"/>
        </w:rPr>
        <w:t xml:space="preserve">Regla de oro — </w:t>
      </w:r>
      <w:r>
        <w:t>Si una fecha límite cae en sábado, domingo o festivo, el plazo se traslada automáticamente al siguiente día hábil.</w:t>
      </w:r>
    </w:p>
    <w:p>
      <w:pPr>
        <w:pStyle w:val="Heading1"/>
      </w:pPr>
      <w:r>
        <w:t>Las fechas clave de 2027</w:t>
      </w:r>
    </w:p>
    <w:tbl>
      <w:tblPr>
        <w:tblStyle w:val="TableGrid"/>
        <w:tblW w:w="8928" w:type="dxa"/>
        <w:tblLayout w:type="fixed"/>
        <w:tblLook w:val="04A0" w:firstRow="1" w:lastRow="0" w:firstColumn="1" w:lastColumn="0" w:noHBand="0" w:noVBand="1"/>
      </w:tblPr>
      <w:tblGrid>
        <w:gridCol w:w="2376"/>
        <w:gridCol w:w="4104"/>
        <w:gridCol w:w="2448"/>
      </w:tblGrid>
      <w:tr>
        <w:trPr>
          <w:tblHeader/>
        </w:trPr>
        <w:tc>
          <w:tcPr>
            <w:tcW w:w="2376" w:type="dxa"/>
            <w:shd w:val="clear" w:color="auto" w:fill="F2F2F2"/>
          </w:tcPr>
          <w:p>
            <w:pPr>
              <w:spacing w:after="0"/>
            </w:pPr>
            <w:r>
              <w:rPr>
                <w:b/>
                <w:bCs/>
              </w:rPr>
              <w:t>Cuándo</w:t>
            </w:r>
          </w:p>
        </w:tc>
        <w:tc>
          <w:tcPr>
            <w:tcW w:w="4104" w:type="dxa"/>
            <w:shd w:val="clear" w:color="auto" w:fill="F2F2F2"/>
          </w:tcPr>
          <w:p>
            <w:pPr>
              <w:spacing w:after="0"/>
            </w:pPr>
            <w:r>
              <w:rPr>
                <w:b/>
                <w:bCs/>
              </w:rPr>
              <w:t>Qué vence</w:t>
            </w:r>
          </w:p>
        </w:tc>
        <w:tc>
          <w:tcPr>
            <w:tcW w:w="2448" w:type="dxa"/>
            <w:shd w:val="clear" w:color="auto" w:fill="F2F2F2"/>
          </w:tcPr>
          <w:p>
            <w:pPr>
              <w:spacing w:after="0"/>
            </w:pPr>
            <w:r>
              <w:rPr>
                <w:b/>
                <w:bCs/>
              </w:rPr>
              <w:t>Modelos</w:t>
            </w:r>
          </w:p>
        </w:tc>
      </w:tr>
      <w:tr>
        <w:tc>
          <w:tcPr>
            <w:tcW w:w="2376" w:type="dxa"/>
          </w:tcPr>
          <w:p>
            <w:pPr>
              <w:spacing w:after="0"/>
            </w:pPr>
            <w:r>
              <w:t>20 de enero de 2027</w:t>
            </w:r>
          </w:p>
        </w:tc>
        <w:tc>
          <w:tcPr>
            <w:tcW w:w="4104" w:type="dxa"/>
          </w:tcPr>
          <w:p>
            <w:pPr>
              <w:spacing w:after="0"/>
            </w:pPr>
            <w:r>
              <w:t>Retenciones e ingresos a cuenta del 4T de 2026</w:t>
            </w:r>
          </w:p>
        </w:tc>
        <w:tc>
          <w:tcPr>
            <w:tcW w:w="2448" w:type="dxa"/>
          </w:tcPr>
          <w:p>
            <w:pPr>
              <w:spacing w:after="0"/>
            </w:pPr>
            <w:r>
              <w:t>111 · 115 · 123 · 124 · 126 · 128</w:t>
            </w:r>
          </w:p>
        </w:tc>
      </w:tr>
      <w:tr>
        <w:tc>
          <w:tcPr>
            <w:tcW w:w="2376" w:type="dxa"/>
          </w:tcPr>
          <w:p>
            <w:pPr>
              <w:spacing w:after="0"/>
            </w:pPr>
            <w:r>
              <w:t>1 de febrero de 2027 *</w:t>
            </w:r>
          </w:p>
        </w:tc>
        <w:tc>
          <w:tcPr>
            <w:tcW w:w="4104" w:type="dxa"/>
          </w:tcPr>
          <w:p>
            <w:pPr>
              <w:spacing w:after="0"/>
            </w:pPr>
            <w:r>
              <w:t>IVA e IRPF del 4T de 2026 y resúmenes anuales de 2026</w:t>
            </w:r>
          </w:p>
        </w:tc>
        <w:tc>
          <w:tcPr>
            <w:tcW w:w="2448" w:type="dxa"/>
          </w:tcPr>
          <w:p>
            <w:pPr>
              <w:spacing w:after="0"/>
            </w:pPr>
            <w:r>
              <w:t>303 · 130 · 131 · 349 · 390 · 180 · 190</w:t>
            </w:r>
          </w:p>
        </w:tc>
      </w:tr>
      <w:tr>
        <w:tc>
          <w:tcPr>
            <w:tcW w:w="2376" w:type="dxa"/>
          </w:tcPr>
          <w:p>
            <w:pPr>
              <w:spacing w:after="0"/>
            </w:pPr>
            <w:r>
              <w:t>20 de abril de 2027</w:t>
            </w:r>
          </w:p>
        </w:tc>
        <w:tc>
          <w:tcPr>
            <w:tcW w:w="4104" w:type="dxa"/>
          </w:tcPr>
          <w:p>
            <w:pPr>
              <w:spacing w:after="0"/>
            </w:pPr>
            <w:r>
              <w:t>1er trimestre de 2027</w:t>
            </w:r>
          </w:p>
        </w:tc>
        <w:tc>
          <w:tcPr>
            <w:tcW w:w="2448" w:type="dxa"/>
          </w:tcPr>
          <w:p>
            <w:pPr>
              <w:spacing w:after="0"/>
            </w:pPr>
            <w:r>
              <w:t>303 · 130 · 111 · 115</w:t>
            </w:r>
          </w:p>
        </w:tc>
      </w:tr>
      <w:tr>
        <w:tc>
          <w:tcPr>
            <w:tcW w:w="2376" w:type="dxa"/>
          </w:tcPr>
          <w:p>
            <w:pPr>
              <w:spacing w:after="0"/>
            </w:pPr>
            <w:r>
              <w:t>8 de abril – 30 de junio de 2027</w:t>
            </w:r>
          </w:p>
        </w:tc>
        <w:tc>
          <w:tcPr>
            <w:tcW w:w="4104" w:type="dxa"/>
          </w:tcPr>
          <w:p>
            <w:pPr>
              <w:spacing w:after="0"/>
            </w:pPr>
            <w:r>
              <w:t>Declaración de la Renta y del Patrimonio de 2026</w:t>
            </w:r>
          </w:p>
        </w:tc>
        <w:tc>
          <w:tcPr>
            <w:tcW w:w="2448" w:type="dxa"/>
          </w:tcPr>
          <w:p>
            <w:pPr>
              <w:spacing w:after="0"/>
            </w:pPr>
            <w:r>
              <w:t>100 · 714</w:t>
            </w:r>
          </w:p>
        </w:tc>
      </w:tr>
      <w:tr>
        <w:tc>
          <w:tcPr>
            <w:tcW w:w="2376" w:type="dxa"/>
          </w:tcPr>
          <w:p>
            <w:pPr>
              <w:spacing w:after="0"/>
            </w:pPr>
            <w:r>
              <w:t>25 de junio de 2027</w:t>
            </w:r>
          </w:p>
        </w:tc>
        <w:tc>
          <w:tcPr>
            <w:tcW w:w="4104" w:type="dxa"/>
          </w:tcPr>
          <w:p>
            <w:pPr>
              <w:spacing w:after="0"/>
            </w:pPr>
            <w:r>
              <w:t>Último día para domiciliar el pago de la Renta</w:t>
            </w:r>
          </w:p>
        </w:tc>
        <w:tc>
          <w:tcPr>
            <w:tcW w:w="2448" w:type="dxa"/>
          </w:tcPr>
          <w:p>
            <w:pPr>
              <w:spacing w:after="0"/>
            </w:pPr>
            <w:r>
              <w:t>100</w:t>
            </w:r>
          </w:p>
        </w:tc>
      </w:tr>
      <w:tr>
        <w:tc>
          <w:tcPr>
            <w:tcW w:w="2376" w:type="dxa"/>
          </w:tcPr>
          <w:p>
            <w:pPr>
              <w:spacing w:after="0"/>
            </w:pPr>
            <w:r>
              <w:t>20 de julio de 2027</w:t>
            </w:r>
          </w:p>
        </w:tc>
        <w:tc>
          <w:tcPr>
            <w:tcW w:w="4104" w:type="dxa"/>
          </w:tcPr>
          <w:p>
            <w:pPr>
              <w:spacing w:after="0"/>
            </w:pPr>
            <w:r>
              <w:t>2º trimestre de 2027</w:t>
            </w:r>
          </w:p>
        </w:tc>
        <w:tc>
          <w:tcPr>
            <w:tcW w:w="2448" w:type="dxa"/>
          </w:tcPr>
          <w:p>
            <w:pPr>
              <w:spacing w:after="0"/>
            </w:pPr>
            <w:r>
              <w:t>303 · 130 · 111 · 115</w:t>
            </w:r>
          </w:p>
        </w:tc>
      </w:tr>
      <w:tr>
        <w:tc>
          <w:tcPr>
            <w:tcW w:w="2376" w:type="dxa"/>
          </w:tcPr>
          <w:p>
            <w:pPr>
              <w:spacing w:after="0"/>
            </w:pPr>
            <w:r>
              <w:t>20 de octubre de 2027</w:t>
            </w:r>
          </w:p>
        </w:tc>
        <w:tc>
          <w:tcPr>
            <w:tcW w:w="4104" w:type="dxa"/>
          </w:tcPr>
          <w:p>
            <w:pPr>
              <w:spacing w:after="0"/>
            </w:pPr>
            <w:r>
              <w:t>3er trimestre de 2027</w:t>
            </w:r>
          </w:p>
        </w:tc>
        <w:tc>
          <w:tcPr>
            <w:tcW w:w="2448" w:type="dxa"/>
          </w:tcPr>
          <w:p>
            <w:pPr>
              <w:spacing w:after="0"/>
            </w:pPr>
            <w:r>
              <w:t>303 · 130 · 111 · 115</w:t>
            </w:r>
          </w:p>
        </w:tc>
      </w:tr>
    </w:tbl>
    <w:p/>
    <w:p>
      <w:pPr>
        <w:spacing w:before="80"/>
      </w:pPr>
      <w:r>
        <w:rPr>
          <w:i/>
          <w:iCs/>
          <w:color w:val="5A6472"/>
          <w:sz w:val="18"/>
          <w:szCs w:val="18"/>
        </w:rPr>
        <w:t>* El 30 de enero de 2027 cae en sábado: el plazo se traslada al lunes 1 de febrero de 2027, tal y como confirma el calendario del contribuyente de la AEAT.</w:t>
      </w:r>
    </w:p>
    <w:p>
      <w:pPr>
        <w:pStyle w:val="Heading1"/>
      </w:pPr>
      <w:r>
        <w:t>Qué es cada modelo</w:t>
      </w:r>
    </w:p>
    <w:tbl>
      <w:tblPr>
        <w:tblStyle w:val="TableGrid"/>
        <w:tblW w:w="8928" w:type="dxa"/>
        <w:tblLayout w:type="fixed"/>
        <w:tblLook w:val="04A0" w:firstRow="1" w:lastRow="0" w:firstColumn="1" w:lastColumn="0" w:noHBand="0" w:noVBand="1"/>
      </w:tblPr>
      <w:tblGrid>
        <w:gridCol w:w="1440"/>
        <w:gridCol w:w="7488"/>
      </w:tblGrid>
      <w:tr>
        <w:trPr>
          <w:tblHeader/>
        </w:trPr>
        <w:tc>
          <w:tcPr>
            <w:tcW w:w="1440" w:type="dxa"/>
            <w:shd w:val="clear" w:color="auto" w:fill="F2F2F2"/>
          </w:tcPr>
          <w:p>
            <w:pPr>
              <w:spacing w:after="0"/>
            </w:pPr>
            <w:r>
              <w:rPr>
                <w:b/>
                <w:bCs/>
              </w:rPr>
              <w:t>Modelo</w:t>
            </w:r>
          </w:p>
        </w:tc>
        <w:tc>
          <w:tcPr>
            <w:tcW w:w="7488" w:type="dxa"/>
            <w:shd w:val="clear" w:color="auto" w:fill="F2F2F2"/>
          </w:tcPr>
          <w:p>
            <w:pPr>
              <w:spacing w:after="0"/>
            </w:pPr>
            <w:r>
              <w:rPr>
                <w:b/>
                <w:bCs/>
              </w:rPr>
              <w:t>Para qué sirve</w:t>
            </w:r>
          </w:p>
        </w:tc>
      </w:tr>
      <w:tr>
        <w:tc>
          <w:tcPr>
            <w:tcW w:w="1440" w:type="dxa"/>
          </w:tcPr>
          <w:p>
            <w:pPr>
              <w:spacing w:after="0"/>
            </w:pPr>
            <w:r>
              <w:t>303</w:t>
            </w:r>
          </w:p>
        </w:tc>
        <w:tc>
          <w:tcPr>
            <w:tcW w:w="7488" w:type="dxa"/>
          </w:tcPr>
          <w:p>
            <w:pPr>
              <w:spacing w:after="0"/>
            </w:pPr>
            <w:r>
              <w:t>Autoliquidación trimestral de IVA</w:t>
            </w:r>
          </w:p>
        </w:tc>
      </w:tr>
      <w:tr>
        <w:tc>
          <w:tcPr>
            <w:tcW w:w="1440" w:type="dxa"/>
          </w:tcPr>
          <w:p>
            <w:pPr>
              <w:spacing w:after="0"/>
            </w:pPr>
            <w:r>
              <w:t>130</w:t>
            </w:r>
          </w:p>
        </w:tc>
        <w:tc>
          <w:tcPr>
            <w:tcW w:w="7488" w:type="dxa"/>
          </w:tcPr>
          <w:p>
            <w:pPr>
              <w:spacing w:after="0"/>
            </w:pPr>
            <w:r>
              <w:t>Pago fraccionado de IRPF (estimación directa)</w:t>
            </w:r>
          </w:p>
        </w:tc>
      </w:tr>
      <w:tr>
        <w:tc>
          <w:tcPr>
            <w:tcW w:w="1440" w:type="dxa"/>
          </w:tcPr>
          <w:p>
            <w:pPr>
              <w:spacing w:after="0"/>
            </w:pPr>
            <w:r>
              <w:t>131</w:t>
            </w:r>
          </w:p>
        </w:tc>
        <w:tc>
          <w:tcPr>
            <w:tcW w:w="7488" w:type="dxa"/>
          </w:tcPr>
          <w:p>
            <w:pPr>
              <w:spacing w:after="0"/>
            </w:pPr>
            <w:r>
              <w:t>Pago fraccionado de IRPF (estimación objetiva o módulos)</w:t>
            </w:r>
          </w:p>
        </w:tc>
      </w:tr>
      <w:tr>
        <w:tc>
          <w:tcPr>
            <w:tcW w:w="1440" w:type="dxa"/>
          </w:tcPr>
          <w:p>
            <w:pPr>
              <w:spacing w:after="0"/>
            </w:pPr>
            <w:r>
              <w:t>111</w:t>
            </w:r>
          </w:p>
        </w:tc>
        <w:tc>
          <w:tcPr>
            <w:tcW w:w="7488" w:type="dxa"/>
          </w:tcPr>
          <w:p>
            <w:pPr>
              <w:spacing w:after="0"/>
            </w:pPr>
            <w:r>
              <w:t>Retenciones sobre rendimientos del trabajo y de actividades profesionales</w:t>
            </w:r>
          </w:p>
        </w:tc>
      </w:tr>
      <w:tr>
        <w:tc>
          <w:tcPr>
            <w:tcW w:w="1440" w:type="dxa"/>
          </w:tcPr>
          <w:p>
            <w:pPr>
              <w:spacing w:after="0"/>
            </w:pPr>
            <w:r>
              <w:t>115</w:t>
            </w:r>
          </w:p>
        </w:tc>
        <w:tc>
          <w:tcPr>
            <w:tcW w:w="7488" w:type="dxa"/>
          </w:tcPr>
          <w:p>
            <w:pPr>
              <w:spacing w:after="0"/>
            </w:pPr>
            <w:r>
              <w:t>Retenciones sobre alquileres</w:t>
            </w:r>
          </w:p>
        </w:tc>
      </w:tr>
      <w:tr>
        <w:tc>
          <w:tcPr>
            <w:tcW w:w="1440" w:type="dxa"/>
          </w:tcPr>
          <w:p>
            <w:pPr>
              <w:spacing w:after="0"/>
            </w:pPr>
            <w:r>
              <w:t>349</w:t>
            </w:r>
          </w:p>
        </w:tc>
        <w:tc>
          <w:tcPr>
            <w:tcW w:w="7488" w:type="dxa"/>
          </w:tcPr>
          <w:p>
            <w:pPr>
              <w:spacing w:after="0"/>
            </w:pPr>
            <w:r>
              <w:t>Declaración de operaciones intracomunitarias</w:t>
            </w:r>
          </w:p>
        </w:tc>
      </w:tr>
      <w:tr>
        <w:tc>
          <w:tcPr>
            <w:tcW w:w="1440" w:type="dxa"/>
          </w:tcPr>
          <w:p>
            <w:pPr>
              <w:spacing w:after="0"/>
            </w:pPr>
            <w:r>
              <w:t>390</w:t>
            </w:r>
          </w:p>
        </w:tc>
        <w:tc>
          <w:tcPr>
            <w:tcW w:w="7488" w:type="dxa"/>
          </w:tcPr>
          <w:p>
            <w:pPr>
              <w:spacing w:after="0"/>
            </w:pPr>
            <w:r>
              <w:t>Resumen anual de IVA</w:t>
            </w:r>
          </w:p>
        </w:tc>
      </w:tr>
      <w:tr>
        <w:tc>
          <w:tcPr>
            <w:tcW w:w="1440" w:type="dxa"/>
          </w:tcPr>
          <w:p>
            <w:pPr>
              <w:spacing w:after="0"/>
            </w:pPr>
            <w:r>
              <w:t>190</w:t>
            </w:r>
          </w:p>
        </w:tc>
        <w:tc>
          <w:tcPr>
            <w:tcW w:w="7488" w:type="dxa"/>
          </w:tcPr>
          <w:p>
            <w:pPr>
              <w:spacing w:after="0"/>
            </w:pPr>
            <w:r>
              <w:t>Resumen anual de retenciones del trabajo y de profesionales</w:t>
            </w:r>
          </w:p>
        </w:tc>
      </w:tr>
      <w:tr>
        <w:tc>
          <w:tcPr>
            <w:tcW w:w="1440" w:type="dxa"/>
          </w:tcPr>
          <w:p>
            <w:pPr>
              <w:spacing w:after="0"/>
            </w:pPr>
            <w:r>
              <w:t>180</w:t>
            </w:r>
          </w:p>
        </w:tc>
        <w:tc>
          <w:tcPr>
            <w:tcW w:w="7488" w:type="dxa"/>
          </w:tcPr>
          <w:p>
            <w:pPr>
              <w:spacing w:after="0"/>
            </w:pPr>
            <w:r>
              <w:t>Resumen anual de retenciones sobre alquileres</w:t>
            </w:r>
          </w:p>
        </w:tc>
      </w:tr>
      <w:tr>
        <w:tc>
          <w:tcPr>
            <w:tcW w:w="1440" w:type="dxa"/>
          </w:tcPr>
          <w:p>
            <w:pPr>
              <w:spacing w:after="0"/>
            </w:pPr>
            <w:r>
              <w:t>100</w:t>
            </w:r>
          </w:p>
        </w:tc>
        <w:tc>
          <w:tcPr>
            <w:tcW w:w="7488" w:type="dxa"/>
          </w:tcPr>
          <w:p>
            <w:pPr>
              <w:spacing w:after="0"/>
            </w:pPr>
            <w:r>
              <w:t>Declaración anual de la Renta (IRPF)</w:t>
            </w:r>
          </w:p>
        </w:tc>
      </w:tr>
    </w:tbl>
    <w:p/>
    <w:p>
      <w:pPr>
        <w:pStyle w:val="Heading1"/>
      </w:pPr>
      <w:r>
        <w:t>Checklist antes del día 20</w:t>
      </w:r>
    </w:p>
    <w:p>
      <w:pPr>
        <w:pStyle w:val="ListParagraph"/>
        <w:numPr>
          <w:ilvl w:val="0"/>
          <w:numId w:val="1"/>
        </w:numPr>
      </w:pPr>
      <w:r>
        <w:rPr>
          <w:sz w:val="21"/>
          <w:szCs w:val="21"/>
        </w:rPr>
        <w:t>Tengo todas las facturas de ingresos y gastos del trimestre.</w:t>
      </w:r>
    </w:p>
    <w:p>
      <w:pPr>
        <w:pStyle w:val="ListParagraph"/>
        <w:numPr>
          <w:ilvl w:val="0"/>
          <w:numId w:val="1"/>
        </w:numPr>
      </w:pPr>
      <w:r>
        <w:rPr>
          <w:sz w:val="21"/>
          <w:szCs w:val="21"/>
        </w:rPr>
        <w:t>He cuadrado las cuentas bancarias y la caja.</w:t>
      </w:r>
    </w:p>
    <w:p>
      <w:pPr>
        <w:pStyle w:val="ListParagraph"/>
        <w:numPr>
          <w:ilvl w:val="0"/>
          <w:numId w:val="1"/>
        </w:numPr>
      </w:pPr>
      <w:r>
        <w:rPr>
          <w:sz w:val="21"/>
          <w:szCs w:val="21"/>
        </w:rPr>
        <w:t>Tengo el certificado digital o Cl@ve para presentar por la Sede Electrónica.</w:t>
      </w:r>
    </w:p>
    <w:p>
      <w:pPr>
        <w:pStyle w:val="ListParagraph"/>
        <w:numPr>
          <w:ilvl w:val="0"/>
          <w:numId w:val="1"/>
        </w:numPr>
      </w:pPr>
      <w:r>
        <w:rPr>
          <w:sz w:val="21"/>
          <w:szCs w:val="21"/>
        </w:rPr>
        <w:t>He comprobado si me toca ingresar o si puedo compensar.</w:t>
      </w:r>
    </w:p>
    <w:p>
      <w:pPr>
        <w:pStyle w:val="ListParagraph"/>
        <w:numPr>
          <w:ilvl w:val="0"/>
          <w:numId w:val="1"/>
        </w:numPr>
      </w:pPr>
      <w:r>
        <w:rPr>
          <w:sz w:val="21"/>
          <w:szCs w:val="21"/>
        </w:rPr>
        <w:t>He guardado el justificante de presentación.</w:t>
      </w:r>
    </w:p>
    <w:p>
      <w:pPr>
        <w:pStyle w:val="Heading1"/>
      </w:pPr>
      <w:r>
        <w:t>Errores típicos</w:t>
      </w:r>
    </w:p>
    <w:p>
      <w:pPr>
        <w:pStyle w:val="ListParagraph"/>
        <w:numPr>
          <w:ilvl w:val="0"/>
          <w:numId w:val="1"/>
        </w:numPr>
      </w:pPr>
      <w:r>
        <w:rPr>
          <w:sz w:val="21"/>
          <w:szCs w:val="21"/>
        </w:rPr>
        <w:t>Confundir el 20 de enero (retenciones) con el 30 de enero (IVA e IRPF del 4T).</w:t>
      </w:r>
    </w:p>
    <w:p>
      <w:pPr>
        <w:pStyle w:val="ListParagraph"/>
        <w:numPr>
          <w:ilvl w:val="0"/>
          <w:numId w:val="1"/>
        </w:numPr>
      </w:pPr>
      <w:r>
        <w:rPr>
          <w:sz w:val="21"/>
          <w:szCs w:val="21"/>
        </w:rPr>
        <w:t>Olvidar los resúmenes anuales (390, 190, 180) que se presentan en enero.</w:t>
      </w:r>
    </w:p>
    <w:p>
      <w:pPr>
        <w:pStyle w:val="ListParagraph"/>
        <w:numPr>
          <w:ilvl w:val="0"/>
          <w:numId w:val="1"/>
        </w:numPr>
      </w:pPr>
      <w:r>
        <w:rPr>
          <w:sz w:val="21"/>
          <w:szCs w:val="21"/>
        </w:rPr>
        <w:t>No domiciliar el pago de la Renta antes del 25 de junio.</w:t>
      </w:r>
    </w:p>
    <w:p>
      <w:pPr>
        <w:pStyle w:val="ListParagraph"/>
        <w:numPr>
          <w:ilvl w:val="0"/>
          <w:numId w:val="1"/>
        </w:numPr>
      </w:pPr>
      <w:r>
        <w:rPr>
          <w:sz w:val="21"/>
          <w:szCs w:val="21"/>
        </w:rPr>
        <w:t>Presentar a última hora y sin revisar, cuando aún hay días para corregir.</w:t>
      </w:r>
    </w:p>
    <w:p>
      <w:pPr>
        <w:pBdr>
          <w:top w:val="single" w:sz="48" w:space="4" w:color="D9C79B"/>
          <w:left w:val="single" w:sz="48" w:space="4" w:color="D9C79B"/>
          <w:bottom w:val="single" w:sz="48" w:space="4" w:color="D9C79B"/>
          <w:right w:val="single" w:sz="48" w:space="4" w:color="D9C79B"/>
        </w:pBdr>
        <w:shd w:val="clear" w:color="auto" w:fill="FBF6EC"/>
        <w:spacing w:before="120" w:after="160"/>
        <w:ind w:left="144" w:right="144"/>
      </w:pPr>
      <w:r>
        <w:rPr>
          <w:b/>
          <w:bCs/>
          <w:color w:val="14315C"/>
        </w:rPr>
        <w:t xml:space="preserve">Cómo te ayuda UNAMUR — </w:t>
      </w:r>
      <w:r>
        <w:t>el Calendario fiscal inteligente de Mi UNAMUR te avisa automáticamente de cada plazo en el panel y en la app, según tu actividad y tu régimen.</w:t>
      </w:r>
    </w:p>
    <w:p>
      <w:pPr>
        <w:pStyle w:val="Heading2"/>
      </w:pPr>
      <w:r>
        <w:t>Fuentes consultadas</w:t>
      </w:r>
    </w:p>
    <w:p>
      <w:pPr>
        <w:pStyle w:val="ListParagraph"/>
        <w:numPr>
          <w:ilvl w:val="0"/>
          <w:numId w:val="1"/>
        </w:numPr>
      </w:pPr>
      <w:r>
        <w:rPr>
          <w:color w:val="5A6472"/>
          <w:sz w:val="19"/>
          <w:szCs w:val="19"/>
        </w:rPr>
        <w:t>AEAT · Calendario del contribuyente y plazos de presentación de autoliquidaciones.</w:t>
      </w:r>
    </w:p>
    <w:p>
      <w:pPr>
        <w:pStyle w:val="ListParagraph"/>
        <w:numPr>
          <w:ilvl w:val="0"/>
          <w:numId w:val="1"/>
        </w:numPr>
      </w:pPr>
      <w:r>
        <w:rPr>
          <w:color w:val="5A6472"/>
          <w:sz w:val="19"/>
          <w:szCs w:val="19"/>
        </w:rPr>
        <w:t>Reglamento General de las actuaciones y los procedimientos de gestión e inspección tributaria (RGAT): días de presentación de las autoliquidaciones trimestrales.</w:t>
      </w:r>
    </w:p>
    <w:p>
      <w:pPr>
        <w:pStyle w:val="Heading2"/>
      </w:pPr>
      <w:r>
        <w:t>Aviso legal</w:t>
      </w:r>
    </w:p>
    <w:p>
      <w:pPr>
        <w:pBdr>
          <w:top w:val="single" w:sz="48" w:space="4" w:color="D9C79B"/>
          <w:left w:val="single" w:sz="48" w:space="4" w:color="D9C79B"/>
          <w:bottom w:val="single" w:sz="48" w:space="4" w:color="D9C79B"/>
          <w:right w:val="single" w:sz="48" w:space="4" w:color="D9C79B"/>
        </w:pBdr>
        <w:shd w:val="clear" w:color="auto" w:fill="FBF6EC"/>
        <w:spacing w:before="120" w:after="160"/>
        <w:ind w:left="144" w:right="144"/>
      </w:pPr>
      <w:r>
        <w:rPr>
          <w:b/>
          <w:bCs/>
        </w:rPr>
        <w:t xml:space="preserve">UNAMUR ofrece esta guía con carácter exclusivamente informativo y orientativo. </w:t>
      </w:r>
      <w:r>
        <w:t>No constituye asesoramiento fiscal, laboral, jurídico ni financiero personalizado, ni sustituye la consulta con un profesional colegiado. La normativa citada puede cambiar; verifica siempre la información en las fuentes oficiales (BOE, AEAT, Seguridad Social, Sede Judicial Electrónica).</w:t>
      </w:r>
    </w:p>
    <w:p>
      <w:pPr>
        <w:spacing w:before="200"/>
        <w:jc w:val="center"/>
      </w:pPr>
      <w:r>
        <w:rPr>
          <w:color w:val="5A6472"/>
          <w:sz w:val="17"/>
          <w:szCs w:val="17"/>
        </w:rPr>
        <w:t>UNAMUR · Unión de Autónomos y Pymes de la Región de Murcia  ·  unamur.es</w:t>
      </w:r>
    </w:p>
    <w:sectPr>
      <w:headerReference w:type="default" r:id="rId5"/>
      <w:headerReference w:type="first" r:id="rId6"/>
      <w:footerReference w:type="default" r:id="rId7"/>
      <w:footerReference w:type="first" r:id="rId8"/>
      <w:pgSz w:w="11906" w:h="16838"/>
      <w:pgMar w:top="1440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w="http://schemas.openxmlformats.org/wordprocessingml/2006/main">
  <w:font w:name="Calibri"/>
  <w:font w:name="Noto Sans CJK SC"/>
  <w:font w:name="Courier New"/>
  <w:font w:name="Noto Sans Mono CJK SC"/>
</w:fonts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Footer"/>
      <w:jc w:val="center"/>
    </w:pPr>
    <w:fldSimple w:instr=" PAGE ">
      <w:r>
        <w:t>1</w:t>
      </w:r>
    </w:fldSimple>
  </w:p>
</w:ftr>
</file>

<file path=word/footer2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Footer"/>
      <w:jc w:val="center"/>
    </w:pPr>
    <w:fldSimple w:instr=" PAGE ">
      <w:r>
        <w:t>1</w:t>
      </w:r>
    </w:fldSimple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Header"/>
      <w:jc w:val="left"/>
    </w:pPr>
    <w:r>
      <w:t>UNAMUR  ·  Guía práctica para autónomos y pymes</w:t>
    </w:r>
  </w:p>
</w:hdr>
</file>

<file path=word/header2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/>
</w:hdr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720" w:hanging="360"/>
      </w:pPr>
    </w:lvl>
    <w:lvl w:ilvl="1">
      <w:start w:val="1"/>
      <w:numFmt w:val="bullet"/>
      <w:lvlText w:val="◦"/>
      <w:lvlJc w:val="left"/>
      <w:pPr>
        <w:ind w:left="1440" w:hanging="360"/>
      </w:pPr>
    </w:lvl>
    <w:lvl w:ilvl="2">
      <w:start w:val="1"/>
      <w:numFmt w:val="bullet"/>
      <w:lvlText w:val="▪"/>
      <w:lvlJc w:val="left"/>
      <w:pPr>
        <w:ind w:left="2160" w:hanging="360"/>
      </w:pPr>
    </w:lvl>
    <w:lvl w:ilvl="3">
      <w:start w:val="1"/>
      <w:numFmt w:val="bullet"/>
      <w:lvlText w:val="•"/>
      <w:lvlJc w:val="left"/>
      <w:pPr>
        <w:ind w:left="2880" w:hanging="360"/>
      </w:pPr>
    </w:lvl>
    <w:lvl w:ilvl="4">
      <w:start w:val="1"/>
      <w:numFmt w:val="bullet"/>
      <w:lvlText w:val="◦"/>
      <w:lvlJc w:val="left"/>
      <w:pPr>
        <w:ind w:left="3600" w:hanging="360"/>
      </w:pPr>
    </w:lvl>
    <w:lvl w:ilvl="5">
      <w:start w:val="1"/>
      <w:numFmt w:val="bullet"/>
      <w:lvlText w:val="▪"/>
      <w:lvlJc w:val="left"/>
      <w:pPr>
        <w:ind w:left="4320" w:hanging="360"/>
      </w:pPr>
    </w:lvl>
    <w:lvl w:ilvl="6">
      <w:start w:val="1"/>
      <w:numFmt w:val="bullet"/>
      <w:lvlText w:val="•"/>
      <w:lvlJc w:val="left"/>
      <w:pPr>
        <w:ind w:left="5040" w:hanging="360"/>
      </w:pPr>
    </w:lvl>
    <w:lvl w:ilvl="7">
      <w:start w:val="1"/>
      <w:numFmt w:val="bullet"/>
      <w:lvlText w:val="◦"/>
      <w:lvlJc w:val="left"/>
      <w:pPr>
        <w:ind w:left="5760" w:hanging="360"/>
      </w:pPr>
    </w:lvl>
    <w:lvl w:ilvl="8">
      <w:start w:val="1"/>
      <w:numFmt w:val="bullet"/>
      <w:lvlText w:val="▪"/>
      <w:lvlJc w:val="left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Noto Sans CJK SC" w:cs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  <w:qFormat/>
  </w:style>
  <w:style w:type="character" w:styleId="DefaultParagraphFont" w:default="1">
    <w:name w:val="Default Paragraph Font"/>
  </w:style>
  <w:style w:type="paragraph" w:styleId="Title">
    <w:name w:val="Title"/>
    <w:basedOn w:val="Normal"/>
    <w:qFormat/>
    <w:pPr>
      <w:spacing w:before="0" w:after="120"/>
    </w:pPr>
    <w:rPr>
      <w:color w:val="14315C"/>
      <w:sz w:val="56"/>
      <w:szCs w:val="56"/>
    </w:rPr>
  </w:style>
  <w:style w:type="paragraph" w:styleId="Subtitle">
    <w:name w:val="Subtitle"/>
    <w:basedOn w:val="Normal"/>
    <w:qFormat/>
    <w:pPr>
      <w:spacing w:after="160"/>
    </w:pPr>
    <w:rPr>
      <w:color w:val="595959"/>
      <w:sz w:val="28"/>
      <w:szCs w:val="28"/>
    </w:rPr>
  </w:style>
  <w:style w:type="paragraph" w:styleId="Heading1">
    <w:name w:val="heading 1"/>
    <w:basedOn w:val="Normal"/>
    <w:qFormat/>
    <w:pPr>
      <w:keepNext/>
      <w:keepLines/>
      <w:spacing w:before="240" w:after="80"/>
      <w:outlineLvl w:val="0"/>
    </w:pPr>
    <w:rPr>
      <w:b/>
      <w:bCs/>
      <w:color w:val="14315C"/>
      <w:sz w:val="32"/>
      <w:szCs w:val="32"/>
    </w:rPr>
  </w:style>
  <w:style w:type="paragraph" w:styleId="Heading2">
    <w:name w:val="heading 2"/>
    <w:basedOn w:val="Normal"/>
    <w:qFormat/>
    <w:pPr>
      <w:keepNext/>
      <w:keepLines/>
      <w:spacing w:before="200" w:after="80"/>
      <w:outlineLvl w:val="1"/>
    </w:pPr>
    <w:rPr>
      <w:b/>
      <w:bCs/>
      <w:color w:val="14315C"/>
      <w:sz w:val="26"/>
      <w:szCs w:val="26"/>
    </w:rPr>
  </w:style>
  <w:style w:type="paragraph" w:styleId="Heading3">
    <w:name w:val="heading 3"/>
    <w:basedOn w:val="Normal"/>
    <w:qFormat/>
    <w:pPr>
      <w:keepNext/>
      <w:keepLines/>
      <w:spacing w:before="160" w:after="80"/>
      <w:outlineLvl w:val="2"/>
    </w:pPr>
    <w:rPr>
      <w:b/>
      <w:bCs/>
      <w:color w:val="14315C"/>
      <w:sz w:val="24"/>
      <w:szCs w:val="24"/>
    </w:rPr>
  </w:style>
  <w:style w:type="paragraph" w:styleId="Heading4">
    <w:name w:val="heading 4"/>
    <w:basedOn w:val="Normal"/>
    <w:qFormat/>
    <w:pPr>
      <w:keepNext/>
      <w:keepLines/>
      <w:spacing w:before="160" w:after="40"/>
      <w:outlineLvl w:val="3"/>
    </w:pPr>
    <w:rPr>
      <w:b/>
      <w:bCs/>
      <w:i/>
      <w:iCs/>
      <w:color w:val="2F5496"/>
      <w:sz w:val="22"/>
      <w:szCs w:val="22"/>
    </w:rPr>
  </w:style>
  <w:style w:type="paragraph" w:styleId="Heading5">
    <w:name w:val="heading 5"/>
    <w:basedOn w:val="Normal"/>
    <w:qFormat/>
    <w:pPr>
      <w:keepNext/>
      <w:keepLines/>
      <w:spacing w:before="120" w:after="40"/>
      <w:outlineLvl w:val="4"/>
    </w:pPr>
    <w:rPr>
      <w:b/>
      <w:bCs/>
      <w:color w:val="1F3864"/>
      <w:sz w:val="22"/>
      <w:szCs w:val="22"/>
    </w:rPr>
  </w:style>
  <w:style w:type="paragraph" w:styleId="Heading6">
    <w:name w:val="heading 6"/>
    <w:basedOn w:val="Normal"/>
    <w:qFormat/>
    <w:pPr>
      <w:keepNext/>
      <w:keepLines/>
      <w:spacing w:before="120" w:after="40"/>
      <w:outlineLvl w:val="5"/>
    </w:pPr>
    <w:rPr>
      <w:i/>
      <w:iCs/>
      <w:color w:val="1F3864"/>
      <w:sz w:val="22"/>
      <w:szCs w:val="22"/>
    </w:rPr>
  </w:style>
  <w:style w:type="paragraph" w:styleId="Quote">
    <w:name w:val="Quote"/>
    <w:basedOn w:val="Normal"/>
    <w:qFormat/>
    <w:pPr>
      <w:pBdr>
        <w:left w:val="single" w:sz="24" w:space="8" w:color="CCCCCC"/>
      </w:pBdr>
      <w:spacing w:before="80" w:after="160"/>
      <w:ind w:left="360"/>
    </w:pPr>
    <w:rPr>
      <w:color w:val="595959"/>
    </w:rPr>
  </w:style>
  <w:style w:type="paragraph" w:styleId="Code">
    <w:name w:val="Code"/>
    <w:basedOn w:val="Normal"/>
    <w:qFormat/>
    <w:pPr>
      <w:keepLines/>
      <w:shd w:val="clear" w:color="auto" w:fill="F2F2F2"/>
      <w:spacing w:before="120" w:after="120" w:line="240" w:lineRule="auto"/>
    </w:pPr>
    <w:rPr>
      <w:rFonts w:ascii="Courier New" w:hAnsi="Courier New" w:eastAsia="Noto Sans Mono CJK SC" w:cs="Courier New"/>
      <w:sz w:val="19"/>
      <w:szCs w:val="19"/>
    </w:rPr>
  </w:style>
  <w:style w:type="character" w:styleId="CodeChar">
    <w:name w:val="Code Char"/>
    <w:rPr>
      <w:rFonts w:ascii="Courier New" w:hAnsi="Courier New" w:eastAsia="Noto Sans Mono CJK SC" w:cs="Courier New"/>
      <w:shd w:val="clear" w:color="auto" w:fill="F2F2F2"/>
    </w:rPr>
  </w:style>
  <w:style w:type="paragraph" w:styleId="ListParagraph">
    <w:name w:val="List Paragraph"/>
    <w:basedOn w:val="Normal"/>
    <w:qFormat/>
    <w:pPr>
      <w:ind w:left="720"/>
      <w:contextualSpacing/>
    </w:pPr>
  </w:style>
  <w:style w:type="character" w:styleId="Hyperlink">
    <w:name w:val="Hyperlink"/>
    <w:rPr>
      <w:color w:val="0563C1"/>
      <w:u w:val="single"/>
    </w:rPr>
  </w:style>
  <w:style w:type="paragraph" w:styleId="Header">
    <w:name w:val="header"/>
    <w:basedOn w:val="Normal"/>
    <w:qFormat/>
    <w:pPr>
      <w:spacing w:after="0"/>
    </w:pPr>
  </w:style>
  <w:style w:type="paragraph" w:styleId="Footer">
    <w:name w:val="footer"/>
    <w:basedOn w:val="Normal"/>
    <w:qFormat/>
    <w:pPr>
      <w:spacing w:after="0"/>
    </w:pPr>
  </w:style>
  <w:style w:type="paragraph" w:styleId="TOCHeading">
    <w:name w:val="TOC Heading"/>
    <w:basedOn w:val="Normal"/>
    <w:qFormat/>
    <w:pPr>
      <w:keepNext/>
      <w:spacing w:before="240" w:after="80"/>
    </w:pPr>
    <w:rPr>
      <w:b/>
      <w:bCs/>
      <w:color w:val="2F5496"/>
      <w:sz w:val="32"/>
      <w:szCs w:val="32"/>
    </w:rPr>
  </w:style>
  <w:style w:type="paragraph" w:styleId="FootnoteText">
    <w:name w:val="footnote text"/>
    <w:basedOn w:val="Normal"/>
    <w:qFormat/>
    <w:pPr>
      <w:spacing w:after="0" w:line="240" w:lineRule="auto"/>
    </w:pPr>
    <w:rPr>
      <w:sz w:val="18"/>
      <w:szCs w:val="18"/>
    </w:rPr>
  </w:style>
  <w:style w:type="character" w:styleId="FootnoteReference">
    <w:name w:val="footnote reference"/>
    <w:rPr>
      <w:vertAlign w:val="superscript"/>
    </w:rPr>
  </w:style>
  <w:style w:type="paragraph" w:styleId="EndnoteText">
    <w:name w:val="endnote text"/>
    <w:basedOn w:val="Normal"/>
    <w:qFormat/>
    <w:pPr>
      <w:spacing w:after="0" w:line="240" w:lineRule="auto"/>
    </w:pPr>
    <w:rPr>
      <w:sz w:val="18"/>
      <w:szCs w:val="18"/>
    </w:rPr>
  </w:style>
  <w:style w:type="character" w:styleId="EndnoteReference">
    <w:name w:val="endnote reference"/>
    <w:rPr>
      <w:vertAlign w:val="superscript"/>
    </w:rPr>
  </w:style>
  <w:style w:type="paragraph" w:styleId="Caption">
    <w:name w:val="caption"/>
    <w:basedOn w:val="Normal"/>
    <w:qFormat/>
    <w:pPr>
      <w:keepNext/>
      <w:spacing w:after="200"/>
    </w:pPr>
    <w:rPr>
      <w:i/>
      <w:iCs/>
      <w:color w:val="44546A"/>
      <w:sz w:val="18"/>
      <w:szCs w:val="18"/>
    </w:rPr>
  </w:style>
  <w:style w:type="table" w:styleId="TableNormal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image" Target="media/image1.png"/></Relationships>
</file>

<file path=docProps/app.xml><?xml version="1.0" encoding="utf-8"?>
<Properties xmlns="http://schemas.openxmlformats.org/officeDocument/2006/extended-properties">
  <Application>gendocx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Calendario Fiscal 2027 del Autónomo</dc:title>
  <dc:creator>gendocx</dc:creator>
  <cp:lastModifiedBy>gendocx</cp:lastModifiedBy>
  <dcterms:created xsi:type="dcterms:W3CDTF">2026-01-01T00:00:00Z</dcterms:created>
  <dcterms:modified xsi:type="dcterms:W3CDTF">2026-01-01T00:00:00Z</dcterms:modified>
</cp:coreProperties>
</file>