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r>
        <w:drawing>
          <wp:inline distT="0" distB="0" distL="0" distR="0">
            <wp:extent cx="1554480" cy="570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5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b/>
          <w:bCs/>
          <w:color w:val="5A6472"/>
          <w:sz w:val="18"/>
          <w:szCs w:val="18"/>
        </w:rPr>
        <w:t>Unión de Autónomos y Pymes de la Región de Murcia</w:t>
      </w:r>
    </w:p>
    <w:p>
      <w:pPr>
        <w:pStyle w:val="Title"/>
      </w:pPr>
      <w:r>
        <w:t>Factura Electrónica Obligatoria</w:t>
      </w:r>
    </w:p>
    <w:p>
      <w:pPr>
        <w:pStyle w:val="Subtitle"/>
      </w:pPr>
      <w:r>
        <w:t>Qué te obliga y cuándo · Guía práctica UNAMUR</w:t>
      </w:r>
    </w:p>
    <w:p>
      <w:pPr>
        <w:pBdr>
          <w:top w:val="single" w:sz="48" w:space="4" w:color="B8963E"/>
          <w:left w:val="single" w:sz="48" w:space="4" w:color="B8963E"/>
          <w:bottom w:val="single" w:sz="48" w:space="4" w:color="B8963E"/>
          <w:right w:val="single" w:sz="48" w:space="4" w:color="B8963E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14315C"/>
        </w:rPr>
        <w:t>Actualizado a 10 de octubre de 2026</w:t>
      </w:r>
    </w:p>
    <w:p>
      <w:r>
        <w:rPr>
          <w:sz w:val="22"/>
          <w:szCs w:val="22"/>
        </w:rPr>
        <w:t>El 5 de octubre de 2026 el BOE publicó la Orden HAC/1028/2026, la norma que arranca el reloj de la factura electrónica obligatoria entre empresas. Para los autónomos, la fecha clave es octubre de 2028. Tienes 24 meses: ni un día que perder, ni motivo para el pánico.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B8963E"/>
        </w:rPr>
        <w:t xml:space="preserve">En una frase — </w:t>
      </w:r>
      <w:r>
        <w:t>si facturas a otras empresas o autónomos con sede en España, a partir de octubre de 2028 tendrás que emitir y recibir facturas electrónicas estructuradas. El PDF suelto dejará de valer.</w:t>
      </w:r>
    </w:p>
    <w:p>
      <w:pPr>
        <w:pStyle w:val="Heading1"/>
      </w:pPr>
      <w:r>
        <w:t>Calendario oficial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5904"/>
        <w:gridCol w:w="3024"/>
      </w:tblGrid>
      <w:tr>
        <w:trPr>
          <w:tblHeader/>
        </w:trPr>
        <w:tc>
          <w:tcPr>
            <w:tcW w:w="5904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Hito</w:t>
            </w:r>
          </w:p>
        </w:tc>
        <w:tc>
          <w:tcPr>
            <w:tcW w:w="3024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Fecha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t>Publicación de la Orden HAC/1028/2026 en el BOE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t>5 de octubre de 2026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t>Entrada en vigor (empiezan a contar los plazos)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t>6 de octubre de 2026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t>Solución pública gratuita de la AEAT disponible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t>antes del 6 de agosto de 2027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t>Obligación para empresas con facturación &gt; 8 M€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t>6 de octubre de 2027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rPr>
                <w:b/>
                <w:bCs/>
                <w:color w:val="B02418"/>
              </w:rPr>
              <w:t>Obligación para el resto de empresas y autónomos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rPr>
                <w:b/>
                <w:bCs/>
                <w:color w:val="B02418"/>
              </w:rPr>
              <w:t>6 de octubre de 2028</w:t>
            </w:r>
          </w:p>
        </w:tc>
      </w:tr>
      <w:tr>
        <w:tc>
          <w:tcPr>
            <w:tcW w:w="5904" w:type="dxa"/>
          </w:tcPr>
          <w:p>
            <w:pPr>
              <w:spacing w:after="0"/>
            </w:pPr>
            <w:r>
              <w:t>Comunicar el estado de pago de las facturas recibidas (IRPF &lt; 8 M€)</w:t>
            </w:r>
          </w:p>
        </w:tc>
        <w:tc>
          <w:tcPr>
            <w:tcW w:w="3024" w:type="dxa"/>
          </w:tcPr>
          <w:p>
            <w:pPr>
              <w:spacing w:after="0"/>
            </w:pPr>
            <w:r>
              <w:t>6 de octubre de 2029</w:t>
            </w:r>
          </w:p>
        </w:tc>
      </w:tr>
    </w:tbl>
    <w:p/>
    <w:p>
      <w:pPr>
        <w:pStyle w:val="Heading1"/>
      </w:pPr>
      <w:r>
        <w:t>¿Me afecta a mí?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6336"/>
        <w:gridCol w:w="2592"/>
      </w:tblGrid>
      <w:tr>
        <w:trPr>
          <w:tblHeader/>
        </w:trPr>
        <w:tc>
          <w:tcPr>
            <w:tcW w:w="6336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Situación</w:t>
            </w:r>
          </w:p>
        </w:tc>
        <w:tc>
          <w:tcPr>
            <w:tcW w:w="2592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¿Te afecta?</w:t>
            </w:r>
          </w:p>
        </w:tc>
      </w:tr>
      <w:tr>
        <w:tc>
          <w:tcPr>
            <w:tcW w:w="6336" w:type="dxa"/>
          </w:tcPr>
          <w:p>
            <w:pPr>
              <w:spacing w:after="0"/>
            </w:pPr>
            <w:r>
              <w:t>Facturas a empresas o profesionales con sede en España (B2B)</w:t>
            </w:r>
          </w:p>
        </w:tc>
        <w:tc>
          <w:tcPr>
            <w:tcW w:w="2592" w:type="dxa"/>
          </w:tcPr>
          <w:p>
            <w:pPr>
              <w:spacing w:after="0"/>
            </w:pPr>
            <w:r>
              <w:rPr>
                <w:b/>
                <w:bCs/>
                <w:color w:val="B02418"/>
              </w:rPr>
              <w:t>Sí</w:t>
            </w:r>
          </w:p>
        </w:tc>
      </w:tr>
      <w:tr>
        <w:tc>
          <w:tcPr>
            <w:tcW w:w="6336" w:type="dxa"/>
          </w:tcPr>
          <w:p>
            <w:pPr>
              <w:spacing w:after="0"/>
            </w:pPr>
            <w:r>
              <w:t>Facturas a particulares (B2C)</w:t>
            </w:r>
          </w:p>
        </w:tc>
        <w:tc>
          <w:tcPr>
            <w:tcW w:w="2592" w:type="dxa"/>
          </w:tcPr>
          <w:p>
            <w:pPr>
              <w:spacing w:after="0"/>
            </w:pPr>
            <w:r>
              <w:rPr>
                <w:b/>
                <w:bCs/>
                <w:color w:val="1E7A46"/>
              </w:rPr>
              <w:t>No, de momento</w:t>
            </w:r>
          </w:p>
        </w:tc>
      </w:tr>
      <w:tr>
        <w:tc>
          <w:tcPr>
            <w:tcW w:w="6336" w:type="dxa"/>
          </w:tcPr>
          <w:p>
            <w:pPr>
              <w:spacing w:after="0"/>
            </w:pPr>
            <w:r>
              <w:t>Clientes extranjeros sin establecimiento permanente en España</w:t>
            </w:r>
          </w:p>
        </w:tc>
        <w:tc>
          <w:tcPr>
            <w:tcW w:w="2592" w:type="dxa"/>
          </w:tcPr>
          <w:p>
            <w:pPr>
              <w:spacing w:after="0"/>
            </w:pPr>
            <w:r>
              <w:rPr>
                <w:b/>
                <w:bCs/>
                <w:color w:val="1E7A46"/>
              </w:rPr>
              <w:t>No en esas operaciones</w:t>
            </w:r>
          </w:p>
        </w:tc>
      </w:tr>
      <w:tr>
        <w:tc>
          <w:tcPr>
            <w:tcW w:w="6336" w:type="dxa"/>
          </w:tcPr>
          <w:p>
            <w:pPr>
              <w:spacing w:after="0"/>
            </w:pPr>
            <w:r>
              <w:t>Facturar a la Administración pública</w:t>
            </w:r>
          </w:p>
        </w:tc>
        <w:tc>
          <w:tcPr>
            <w:tcW w:w="2592" w:type="dxa"/>
          </w:tcPr>
          <w:p>
            <w:pPr>
              <w:spacing w:after="0"/>
            </w:pPr>
            <w:r>
              <w:rPr>
                <w:b/>
                <w:bCs/>
                <w:color w:val="B26A00"/>
              </w:rPr>
              <w:t>Ya te afecta</w:t>
            </w:r>
          </w:p>
        </w:tc>
      </w:tr>
    </w:tbl>
    <w:p/>
    <w:p>
      <w:pPr>
        <w:pStyle w:val="Heading1"/>
      </w:pPr>
      <w:r>
        <w:t>Qué cambia en tu día a día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El PDF suelto deja de ser válido en las relaciones entre empresas.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Las facturas deberán emitirse en formato estructurado (modelo EN16931; en la solución pública, sintaxis UBL; en España se usa también Facturae).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Habrá que poder recibir, archivar y comunicar el estado de las facturas.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Las facturas electrónicas se conservan en ese formato durante el plazo de prescripción fiscal (4 años con carácter general).</w:t>
      </w:r>
    </w:p>
    <w:p>
      <w:pPr>
        <w:pStyle w:val="Heading1"/>
      </w:pPr>
      <w:r>
        <w:t>Verifactu: no lo confundas</w:t>
      </w:r>
    </w:p>
    <w:p>
      <w:r>
        <w:rPr>
          <w:sz w:val="21"/>
          <w:szCs w:val="21"/>
        </w:rPr>
        <w:t>Verifactu regula el programa con el que facturas (que sea un sistema homologado y, en su modalidad, que remita registros a la AEAT). Es una obligación distinta de la factura electrónica. Hacienda ha anunciado su prórroga hasta octubre de 2028 para coordinarla con la entrada en vigor de la factura electrónica.</w:t>
      </w:r>
    </w:p>
    <w:p>
      <w:pPr>
        <w:pStyle w:val="Heading1"/>
      </w:pPr>
      <w:r>
        <w:t>Tu plan de 10 pasos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Confirma si haces operaciones B2B con sede en España.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Comprueba si tu programa de facturación actual está adaptado.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Obtén o renueva tu certificado digital (o Cl@ve).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Decide: solución pública gratuita de la AEAT o software privado.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Ordena tu base de datos de clientes (NIF y datos fiscales correctos).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Habla con tu asesor sobre plazos y costes.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Prueba el sistema con un cliente antes de que sea obligatorio.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Forma a quien emite facturas en tu negocio.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Define cómo vas a archivar las facturas electrónicas.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Revisa el estado de pago de las facturas que recibas.</w:t>
      </w:r>
    </w:p>
    <w:p>
      <w:pPr>
        <w:pStyle w:val="Heading1"/>
      </w:pPr>
      <w:r>
        <w:t>Errores típicos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Creer que «esto es cosa de las grandes empresas».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Confundir factura electrónica con enviar un PDF por correo.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Pensar que Verifactu y factura electrónica son lo mismo.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Esperar a 2028 para informarse y adaptarse.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  <w:color w:val="14315C"/>
        </w:rPr>
        <w:t xml:space="preserve">Cómo te ayuda UNAMUR — </w:t>
      </w:r>
      <w:r>
        <w:t>seguimos la normativa al día y te avisamos, a través del panel y de la app, de cada cambio que afecte a tu facturación.</w:t>
      </w:r>
    </w:p>
    <w:p>
      <w:pPr>
        <w:pStyle w:val="Heading2"/>
      </w:pPr>
      <w:r>
        <w:t>Fuentes consultadas</w:t>
      </w:r>
    </w:p>
    <w:p>
      <w:pPr>
        <w:pStyle w:val="ListParagraph"/>
        <w:numPr>
          <w:ilvl w:val="0"/>
          <w:numId w:val="1"/>
        </w:numPr>
      </w:pPr>
      <w:r>
        <w:rPr>
          <w:color w:val="5A6472"/>
          <w:sz w:val="19"/>
          <w:szCs w:val="19"/>
        </w:rPr>
        <w:t>Orden HAC/1028/2026, de 2 de octubre (BOE de 5 de octubre de 2026): solución pública de facturación electrónica.</w:t>
      </w:r>
    </w:p>
    <w:p>
      <w:pPr>
        <w:pStyle w:val="ListParagraph"/>
        <w:numPr>
          <w:ilvl w:val="0"/>
          <w:numId w:val="1"/>
        </w:numPr>
      </w:pPr>
      <w:r>
        <w:rPr>
          <w:color w:val="5A6472"/>
          <w:sz w:val="19"/>
          <w:szCs w:val="19"/>
        </w:rPr>
        <w:t>Real Decreto 238/2026, de 25 de marzo: desarrollo reglamentario de la factura electrónica obligatoria.</w:t>
      </w:r>
    </w:p>
    <w:p>
      <w:pPr>
        <w:pStyle w:val="ListParagraph"/>
        <w:numPr>
          <w:ilvl w:val="0"/>
          <w:numId w:val="1"/>
        </w:numPr>
      </w:pPr>
      <w:r>
        <w:rPr>
          <w:color w:val="5A6472"/>
          <w:sz w:val="19"/>
          <w:szCs w:val="19"/>
        </w:rPr>
        <w:t>Ley 18/2022, de 28 de septiembre (Ley Crea y Crece): factura electrónica y lucha contra la morosidad.</w:t>
      </w:r>
    </w:p>
    <w:p>
      <w:pPr>
        <w:pStyle w:val="Heading2"/>
      </w:pPr>
      <w:r>
        <w:t>Aviso legal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</w:rPr>
        <w:t xml:space="preserve">UNAMUR ofrece esta guía con carácter exclusivamente informativo y orientativo. </w:t>
      </w:r>
      <w:r>
        <w:t>No constituye asesoramiento fiscal, laboral, jurídico ni financiero personalizado, ni sustituye la consulta con un profesional colegiado. La normativa citada puede cambiar; verifica siempre la información en las fuentes oficiales (BOE, AEAT, Seguridad Social, Sede Judicial Electrónica).</w:t>
      </w:r>
    </w:p>
    <w:p>
      <w:pPr>
        <w:spacing w:before="200"/>
        <w:jc w:val="center"/>
      </w:pPr>
      <w:r>
        <w:rPr>
          <w:color w:val="5A6472"/>
          <w:sz w:val="17"/>
          <w:szCs w:val="17"/>
        </w:rPr>
        <w:t>UNAMUR · Unión de Autónomos y Pymes de la Región de Murcia  ·  unamur.es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SC"/>
  <w:font w:name="Courier New"/>
  <w:font w:name="Noto Sans Mono CJK SC"/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jc w:val="left"/>
    </w:pPr>
    <w:r>
      <w:t>UNAMUR  ·  Guía práctica para autónomos y pymes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SC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color w:val="14315C"/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14315C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14315C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4315C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Factura Electrónica Obligatoria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