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>
  <w:body>
    <w:p>
      <w:r>
        <w:drawing>
          <wp:inline distT="0" distB="0" distL="0" distR="0">
            <wp:extent cx="1554480" cy="57005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54480" cy="570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</w:pPr>
      <w:r>
        <w:rPr>
          <w:b/>
          <w:bCs/>
          <w:color w:val="5A6472"/>
          <w:sz w:val="18"/>
          <w:szCs w:val="18"/>
        </w:rPr>
        <w:t>Unión de Autónomos y Pymes de la Región de Murcia</w:t>
      </w:r>
    </w:p>
    <w:p>
      <w:pPr>
        <w:pStyle w:val="Title"/>
      </w:pPr>
      <w:r>
        <w:t>Cuánto Cobrar la Hora</w:t>
      </w:r>
    </w:p>
    <w:p>
      <w:pPr>
        <w:pStyle w:val="Subtitle"/>
      </w:pPr>
      <w:r>
        <w:t>Método en 5 pasos para poner precio a tu trabajo</w:t>
      </w:r>
    </w:p>
    <w:p>
      <w:pPr>
        <w:pBdr>
          <w:top w:val="single" w:sz="48" w:space="4" w:color="B8963E"/>
          <w:left w:val="single" w:sz="48" w:space="4" w:color="B8963E"/>
          <w:bottom w:val="single" w:sz="48" w:space="4" w:color="B8963E"/>
          <w:right w:val="single" w:sz="48" w:space="4" w:color="B8963E"/>
        </w:pBdr>
        <w:shd w:val="clear" w:color="auto" w:fill="F3E8D2"/>
        <w:spacing w:before="120" w:after="160"/>
        <w:ind w:left="144" w:right="144"/>
      </w:pPr>
      <w:r>
        <w:rPr>
          <w:b/>
          <w:bCs/>
          <w:color w:val="14315C"/>
        </w:rPr>
        <w:t>Verificado por UNAMUR · Octubre de 2026</w:t>
      </w:r>
    </w:p>
    <w:p>
      <w:r>
        <w:rPr>
          <w:sz w:val="22"/>
          <w:szCs w:val="22"/>
        </w:rPr>
        <w:t>Cobrar por horas «a ojo» es la forma más rápida de trabajar mucho y ganar poco. Tu tarifa no es un número que se elige: se calcula. Esta guía te da el método.</w:t>
      </w:r>
    </w:p>
    <w:p>
      <w:pPr>
        <w:pBdr>
          <w:top w:val="single" w:sz="48" w:space="4" w:color="D9C79B"/>
          <w:left w:val="single" w:sz="48" w:space="4" w:color="D9C79B"/>
          <w:bottom w:val="single" w:sz="48" w:space="4" w:color="D9C79B"/>
          <w:right w:val="single" w:sz="48" w:space="4" w:color="D9C79B"/>
        </w:pBdr>
        <w:shd w:val="clear" w:color="auto" w:fill="F3E8D2"/>
        <w:spacing w:before="120" w:after="160"/>
        <w:ind w:left="144" w:right="144"/>
      </w:pPr>
      <w:r>
        <w:rPr>
          <w:b/>
          <w:bCs/>
          <w:color w:val="B8963E"/>
        </w:rPr>
        <w:t xml:space="preserve">La idea — </w:t>
      </w:r>
      <w:r>
        <w:t>tu tarifa horaria mínima es todo lo que tu negocio necesita facturar en un año, dividido entre las horas que de verdad puedes facturar.</w:t>
      </w:r>
    </w:p>
    <w:p>
      <w:pPr>
        <w:pStyle w:val="Heading1"/>
      </w:pPr>
      <w:r>
        <w:t>El método en 5 pasos</w:t>
      </w:r>
    </w:p>
    <w:p>
      <w:pPr>
        <w:pStyle w:val="ListParagraph"/>
        <w:numPr>
          <w:ilvl w:val="0"/>
          <w:numId w:val="1"/>
        </w:numPr>
      </w:pPr>
      <w:r>
        <w:rPr>
          <w:sz w:val="21"/>
          <w:szCs w:val="21"/>
        </w:rPr>
        <w:t>Define cuánto quieres ganar. Fija tu objetivo neto anual: lo que quieres llevarte a casa.</w:t>
      </w:r>
    </w:p>
    <w:p>
      <w:pPr>
        <w:pStyle w:val="ListParagraph"/>
        <w:numPr>
          <w:ilvl w:val="0"/>
          <w:numId w:val="1"/>
        </w:numPr>
      </w:pPr>
      <w:r>
        <w:rPr>
          <w:sz w:val="21"/>
          <w:szCs w:val="21"/>
        </w:rPr>
        <w:t>Súmale los costes. Cuota de autónomos más los gastos fijos del negocio (gestoría, software, móvil, seguros, suministros...).</w:t>
      </w:r>
    </w:p>
    <w:p>
      <w:pPr>
        <w:pStyle w:val="ListParagraph"/>
        <w:numPr>
          <w:ilvl w:val="0"/>
          <w:numId w:val="1"/>
        </w:numPr>
      </w:pPr>
      <w:r>
        <w:rPr>
          <w:sz w:val="21"/>
          <w:szCs w:val="21"/>
        </w:rPr>
        <w:t>Cuenta tus horas facturables reales. De una jornada de 40 horas, entre administración, comercial y formación, se factura de media el 60-70 %. Un año tiene unas 1.200-1.400 horas facturables, no 1.800.</w:t>
      </w:r>
    </w:p>
    <w:p>
      <w:pPr>
        <w:pStyle w:val="ListParagraph"/>
        <w:numPr>
          <w:ilvl w:val="0"/>
          <w:numId w:val="1"/>
        </w:numPr>
      </w:pPr>
      <w:r>
        <w:rPr>
          <w:sz w:val="21"/>
          <w:szCs w:val="21"/>
        </w:rPr>
        <w:t>Divide. (Objetivo + costes) ÷ horas facturables = tu coste por hora mínimo.</w:t>
      </w:r>
    </w:p>
    <w:p>
      <w:pPr>
        <w:pStyle w:val="ListParagraph"/>
        <w:numPr>
          <w:ilvl w:val="0"/>
          <w:numId w:val="1"/>
        </w:numPr>
      </w:pPr>
      <w:r>
        <w:rPr>
          <w:sz w:val="21"/>
          <w:szCs w:val="21"/>
        </w:rPr>
        <w:t>Añade margen y ajusta. Suma un 20-30 % de beneficio e imprevistos, y ajusta al alza por urgencias, especialización o clientes exigentes.</w:t>
      </w:r>
    </w:p>
    <w:p>
      <w:pPr>
        <w:pStyle w:val="Heading1"/>
      </w:pPr>
      <w:r>
        <w:t>Ejemplo real</w:t>
      </w:r>
    </w:p>
    <w:tbl>
      <w:tblPr>
        <w:tblStyle w:val="TableGrid"/>
        <w:tblW w:w="8928" w:type="dxa"/>
        <w:tblLayout w:type="fixed"/>
        <w:tblLook w:val="04A0" w:firstRow="1" w:lastRow="0" w:firstColumn="1" w:lastColumn="0" w:noHBand="0" w:noVBand="1"/>
      </w:tblPr>
      <w:tblGrid>
        <w:gridCol w:w="6048"/>
        <w:gridCol w:w="2880"/>
      </w:tblGrid>
      <w:tr>
        <w:trPr>
          <w:tblHeader/>
        </w:trPr>
        <w:tc>
          <w:tcPr>
            <w:tcW w:w="6048" w:type="dxa"/>
            <w:shd w:val="clear" w:color="auto" w:fill="F2F2F2"/>
          </w:tcPr>
          <w:p>
            <w:pPr>
              <w:spacing w:after="0"/>
            </w:pPr>
            <w:r>
              <w:rPr>
                <w:b/>
                <w:bCs/>
              </w:rPr>
              <w:t>Concepto</w:t>
            </w:r>
          </w:p>
        </w:tc>
        <w:tc>
          <w:tcPr>
            <w:tcW w:w="2880" w:type="dxa"/>
            <w:shd w:val="clear" w:color="auto" w:fill="F2F2F2"/>
          </w:tcPr>
          <w:p>
            <w:pPr>
              <w:spacing w:after="0"/>
            </w:pPr>
            <w:r>
              <w:rPr>
                <w:b/>
                <w:bCs/>
              </w:rPr>
              <w:t>Importe</w:t>
            </w:r>
          </w:p>
        </w:tc>
      </w:tr>
      <w:tr>
        <w:tc>
          <w:tcPr>
            <w:tcW w:w="6048" w:type="dxa"/>
          </w:tcPr>
          <w:p>
            <w:pPr>
              <w:spacing w:after="0"/>
            </w:pPr>
            <w:r>
              <w:t>Objetivo neto anual</w:t>
            </w:r>
          </w:p>
        </w:tc>
        <w:tc>
          <w:tcPr>
            <w:tcW w:w="2880" w:type="dxa"/>
          </w:tcPr>
          <w:p>
            <w:pPr>
              <w:spacing w:after="0"/>
            </w:pPr>
            <w:r>
              <w:t>24.000 €</w:t>
            </w:r>
          </w:p>
        </w:tc>
      </w:tr>
      <w:tr>
        <w:tc>
          <w:tcPr>
            <w:tcW w:w="6048" w:type="dxa"/>
          </w:tcPr>
          <w:p>
            <w:pPr>
              <w:spacing w:after="0"/>
            </w:pPr>
            <w:r>
              <w:t>Cuota de autónomos</w:t>
            </w:r>
          </w:p>
        </w:tc>
        <w:tc>
          <w:tcPr>
            <w:tcW w:w="2880" w:type="dxa"/>
          </w:tcPr>
          <w:p>
            <w:pPr>
              <w:spacing w:after="0"/>
            </w:pPr>
            <w:r>
              <w:t>960 €</w:t>
            </w:r>
          </w:p>
        </w:tc>
      </w:tr>
      <w:tr>
        <w:tc>
          <w:tcPr>
            <w:tcW w:w="6048" w:type="dxa"/>
          </w:tcPr>
          <w:p>
            <w:pPr>
              <w:spacing w:after="0"/>
            </w:pPr>
            <w:r>
              <w:t>Gastos fijos del negocio</w:t>
            </w:r>
          </w:p>
        </w:tc>
        <w:tc>
          <w:tcPr>
            <w:tcW w:w="2880" w:type="dxa"/>
          </w:tcPr>
          <w:p>
            <w:pPr>
              <w:spacing w:after="0"/>
            </w:pPr>
            <w:r>
              <w:t>6.000 €</w:t>
            </w:r>
          </w:p>
        </w:tc>
      </w:tr>
      <w:tr>
        <w:tc>
          <w:tcPr>
            <w:tcW w:w="6048" w:type="dxa"/>
          </w:tcPr>
          <w:p>
            <w:pPr>
              <w:spacing w:after="0"/>
            </w:pPr>
            <w:r>
              <w:rPr>
                <w:b/>
                <w:bCs/>
              </w:rPr>
              <w:t>Total a facturar al año</w:t>
            </w:r>
          </w:p>
        </w:tc>
        <w:tc>
          <w:tcPr>
            <w:tcW w:w="2880" w:type="dxa"/>
          </w:tcPr>
          <w:p>
            <w:pPr>
              <w:spacing w:after="0"/>
            </w:pPr>
            <w:r>
              <w:t>30.960 €</w:t>
            </w:r>
          </w:p>
        </w:tc>
      </w:tr>
      <w:tr>
        <w:tc>
          <w:tcPr>
            <w:tcW w:w="6048" w:type="dxa"/>
          </w:tcPr>
          <w:p>
            <w:pPr>
              <w:spacing w:after="0"/>
            </w:pPr>
            <w:r>
              <w:t>Horas facturables al año</w:t>
            </w:r>
          </w:p>
        </w:tc>
        <w:tc>
          <w:tcPr>
            <w:tcW w:w="2880" w:type="dxa"/>
          </w:tcPr>
          <w:p>
            <w:pPr>
              <w:spacing w:after="0"/>
            </w:pPr>
            <w:r>
              <w:t>1.250 h</w:t>
            </w:r>
          </w:p>
        </w:tc>
      </w:tr>
      <w:tr>
        <w:tc>
          <w:tcPr>
            <w:tcW w:w="6048" w:type="dxa"/>
          </w:tcPr>
          <w:p>
            <w:pPr>
              <w:spacing w:after="0"/>
            </w:pPr>
            <w:r>
              <w:rPr>
                <w:b/>
                <w:bCs/>
              </w:rPr>
              <w:t>Coste por hora mínimo</w:t>
            </w:r>
          </w:p>
        </w:tc>
        <w:tc>
          <w:tcPr>
            <w:tcW w:w="2880" w:type="dxa"/>
          </w:tcPr>
          <w:p>
            <w:pPr>
              <w:spacing w:after="0"/>
            </w:pPr>
            <w:r>
              <w:t>24,77 €/h</w:t>
            </w:r>
          </w:p>
        </w:tc>
      </w:tr>
      <w:tr>
        <w:tc>
          <w:tcPr>
            <w:tcW w:w="6048" w:type="dxa"/>
          </w:tcPr>
          <w:p>
            <w:pPr>
              <w:spacing w:after="0"/>
            </w:pPr>
            <w:r>
              <w:t>Con margen del 25 %</w:t>
            </w:r>
          </w:p>
        </w:tc>
        <w:tc>
          <w:tcPr>
            <w:tcW w:w="2880" w:type="dxa"/>
          </w:tcPr>
          <w:p>
            <w:pPr>
              <w:spacing w:after="0"/>
            </w:pPr>
            <w:r>
              <w:t>30,96 €/h</w:t>
            </w:r>
          </w:p>
        </w:tc>
      </w:tr>
      <w:tr>
        <w:tc>
          <w:tcPr>
            <w:tcW w:w="6048" w:type="dxa"/>
          </w:tcPr>
          <w:p>
            <w:pPr>
              <w:spacing w:after="0"/>
            </w:pPr>
            <w:r>
              <w:rPr>
                <w:b/>
                <w:bCs/>
                <w:color w:val="1E7A46"/>
              </w:rPr>
              <w:t>Tarifa recomendada</w:t>
            </w:r>
          </w:p>
        </w:tc>
        <w:tc>
          <w:tcPr>
            <w:tcW w:w="2880" w:type="dxa"/>
          </w:tcPr>
          <w:p>
            <w:pPr>
              <w:spacing w:after="0"/>
            </w:pPr>
            <w:r>
              <w:rPr>
                <w:b/>
                <w:bCs/>
                <w:color w:val="1E7A46"/>
              </w:rPr>
              <w:t>32-35 €/h</w:t>
            </w:r>
          </w:p>
        </w:tc>
      </w:tr>
    </w:tbl>
    <w:p/>
    <w:p>
      <w:pPr>
        <w:spacing w:before="80"/>
      </w:pPr>
      <w:r>
        <w:rPr>
          <w:i/>
          <w:iCs/>
          <w:color w:val="5A6472"/>
          <w:sz w:val="18"/>
          <w:szCs w:val="18"/>
        </w:rPr>
        <w:t>Cifras ilustrativas. Añade una capa para el IRPF y ajusta tu cuota según los tramos de cotización por ingresos reales.</w:t>
      </w:r>
    </w:p>
    <w:p>
      <w:pPr>
        <w:pStyle w:val="Heading1"/>
      </w:pPr>
      <w:r>
        <w:t>La fórmula</w:t>
      </w:r>
    </w:p>
    <w:p>
      <w:pPr>
        <w:pBdr>
          <w:top w:val="single" w:sz="48" w:space="4" w:color="D9C79B"/>
          <w:left w:val="single" w:sz="48" w:space="4" w:color="D9C79B"/>
          <w:bottom w:val="single" w:sz="48" w:space="4" w:color="D9C79B"/>
          <w:right w:val="single" w:sz="48" w:space="4" w:color="D9C79B"/>
        </w:pBdr>
        <w:shd w:val="clear" w:color="auto" w:fill="FBF6EC"/>
        <w:spacing w:before="120" w:after="160"/>
        <w:ind w:left="144" w:right="144"/>
      </w:pPr>
      <w:r>
        <w:rPr>
          <w:b/>
          <w:bCs/>
          <w:color w:val="14315C"/>
        </w:rPr>
        <w:t xml:space="preserve">Tarifa por hora = </w:t>
      </w:r>
      <w:r>
        <w:t>(Objetivo neto + Cuota + Gastos fijos) ÷ Horas facturables × (1 + margen)</w:t>
      </w:r>
    </w:p>
    <w:p>
      <w:pPr>
        <w:pStyle w:val="Heading1"/>
      </w:pPr>
      <w:r>
        <w:t>Errores típicos</w:t>
      </w:r>
    </w:p>
    <w:p>
      <w:pPr>
        <w:pStyle w:val="ListParagraph"/>
        <w:numPr>
          <w:ilvl w:val="0"/>
          <w:numId w:val="2"/>
        </w:numPr>
      </w:pPr>
      <w:r>
        <w:rPr>
          <w:sz w:val="21"/>
          <w:szCs w:val="21"/>
        </w:rPr>
        <w:t>Poner precio mirando lo que cobra el de al lado.</w:t>
      </w:r>
    </w:p>
    <w:p>
      <w:pPr>
        <w:pStyle w:val="ListParagraph"/>
        <w:numPr>
          <w:ilvl w:val="0"/>
          <w:numId w:val="2"/>
        </w:numPr>
      </w:pPr>
      <w:r>
        <w:rPr>
          <w:sz w:val="21"/>
          <w:szCs w:val="21"/>
        </w:rPr>
        <w:t>No contar las horas que no facturas: presupuestos, formación, redes sociales.</w:t>
      </w:r>
    </w:p>
    <w:p>
      <w:pPr>
        <w:pStyle w:val="ListParagraph"/>
        <w:numPr>
          <w:ilvl w:val="0"/>
          <w:numId w:val="2"/>
        </w:numPr>
      </w:pPr>
      <w:r>
        <w:rPr>
          <w:sz w:val="21"/>
          <w:szCs w:val="21"/>
        </w:rPr>
        <w:t>Trabajar por debajo del coste para «no perder al cliente».</w:t>
      </w:r>
    </w:p>
    <w:p>
      <w:pPr>
        <w:pStyle w:val="ListParagraph"/>
        <w:numPr>
          <w:ilvl w:val="0"/>
          <w:numId w:val="2"/>
        </w:numPr>
      </w:pPr>
      <w:r>
        <w:rPr>
          <w:sz w:val="21"/>
          <w:szCs w:val="21"/>
        </w:rPr>
        <w:t>No revisar la tarifa cada año.</w:t>
      </w:r>
    </w:p>
    <w:p>
      <w:pPr>
        <w:pBdr>
          <w:top w:val="single" w:sz="48" w:space="4" w:color="D9C79B"/>
          <w:left w:val="single" w:sz="48" w:space="4" w:color="D9C79B"/>
          <w:bottom w:val="single" w:sz="48" w:space="4" w:color="D9C79B"/>
          <w:right w:val="single" w:sz="48" w:space="4" w:color="D9C79B"/>
        </w:pBdr>
        <w:shd w:val="clear" w:color="auto" w:fill="FBF6EC"/>
        <w:spacing w:before="120" w:after="160"/>
        <w:ind w:left="144" w:right="144"/>
      </w:pPr>
      <w:r>
        <w:rPr>
          <w:b/>
          <w:bCs/>
          <w:color w:val="14315C"/>
        </w:rPr>
        <w:t xml:space="preserve">Cómo te ayuda UNAMUR — </w:t>
      </w:r>
      <w:r>
        <w:t>la calculadora «Precio/hora» de Mi UNAMUR calcula tu tarifa objetivo a partir de tus propios números, en dos minutos.</w:t>
      </w:r>
    </w:p>
    <w:p>
      <w:pPr>
        <w:pStyle w:val="Heading2"/>
      </w:pPr>
      <w:r>
        <w:t>Fuentes consultadas</w:t>
      </w:r>
    </w:p>
    <w:p>
      <w:pPr>
        <w:pStyle w:val="ListParagraph"/>
        <w:numPr>
          <w:ilvl w:val="0"/>
          <w:numId w:val="2"/>
        </w:numPr>
      </w:pPr>
      <w:r>
        <w:rPr>
          <w:color w:val="5A6472"/>
          <w:sz w:val="19"/>
          <w:szCs w:val="19"/>
        </w:rPr>
        <w:t>Metodología de costes y tarifas profesionales; cifras de ejemplo elaboradas por UNAMUR con fines ilustrativos.</w:t>
      </w:r>
    </w:p>
    <w:p>
      <w:pPr>
        <w:pStyle w:val="ListParagraph"/>
        <w:numPr>
          <w:ilvl w:val="0"/>
          <w:numId w:val="2"/>
        </w:numPr>
      </w:pPr>
      <w:r>
        <w:rPr>
          <w:color w:val="5A6472"/>
          <w:sz w:val="19"/>
          <w:szCs w:val="19"/>
        </w:rPr>
        <w:t>Seguridad Social: sistema de cotización por ingresos reales (tramos de cuota).</w:t>
      </w:r>
    </w:p>
    <w:p>
      <w:pPr>
        <w:pStyle w:val="Heading2"/>
      </w:pPr>
      <w:r>
        <w:t>Aviso legal</w:t>
      </w:r>
    </w:p>
    <w:p>
      <w:pPr>
        <w:pBdr>
          <w:top w:val="single" w:sz="48" w:space="4" w:color="D9C79B"/>
          <w:left w:val="single" w:sz="48" w:space="4" w:color="D9C79B"/>
          <w:bottom w:val="single" w:sz="48" w:space="4" w:color="D9C79B"/>
          <w:right w:val="single" w:sz="48" w:space="4" w:color="D9C79B"/>
        </w:pBdr>
        <w:shd w:val="clear" w:color="auto" w:fill="FBF6EC"/>
        <w:spacing w:before="120" w:after="160"/>
        <w:ind w:left="144" w:right="144"/>
      </w:pPr>
      <w:r>
        <w:rPr>
          <w:b/>
          <w:bCs/>
        </w:rPr>
        <w:t xml:space="preserve">UNAMUR ofrece esta guía con carácter exclusivamente informativo y orientativo. </w:t>
      </w:r>
      <w:r>
        <w:t>No constituye asesoramiento fiscal, laboral, jurídico ni financiero personalizado, ni sustituye la consulta con un profesional colegiado. La normativa citada puede cambiar; verifica siempre la información en las fuentes oficiales (BOE, AEAT, Seguridad Social, Sede Judicial Electrónica).</w:t>
      </w:r>
    </w:p>
    <w:p>
      <w:pPr>
        <w:spacing w:before="200"/>
        <w:jc w:val="center"/>
      </w:pPr>
      <w:r>
        <w:rPr>
          <w:color w:val="5A6472"/>
          <w:sz w:val="17"/>
          <w:szCs w:val="17"/>
        </w:rPr>
        <w:t>UNAMUR · Unión de Autónomos y Pymes de la Región de Murcia  ·  unamur.es</w:t>
      </w:r>
    </w:p>
    <w:sectPr>
      <w:headerReference w:type="default" r:id="rId5"/>
      <w:headerReference w:type="first" r:id="rId6"/>
      <w:footerReference w:type="default" r:id="rId7"/>
      <w:footerReference w:type="first" r:id="rId8"/>
      <w:pgSz w:w="11906" w:h="16838"/>
      <w:pgMar w:top="1440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w="http://schemas.openxmlformats.org/wordprocessingml/2006/main">
  <w:font w:name="Calibri"/>
  <w:font w:name="Noto Sans CJK SC"/>
  <w:font w:name="Courier New"/>
  <w:font w:name="Noto Sans Mono CJK SC"/>
</w:fonts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Footer"/>
      <w:jc w:val="center"/>
    </w:pPr>
    <w:fldSimple w:instr=" PAGE ">
      <w:r>
        <w:t>1</w:t>
      </w:r>
    </w:fldSimple>
  </w:p>
</w:ftr>
</file>

<file path=word/footer2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Footer"/>
      <w:jc w:val="center"/>
    </w:pPr>
    <w:fldSimple w:instr=" PAGE ">
      <w:r>
        <w:t>1</w:t>
      </w:r>
    </w:fldSimple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  <w:jc w:val="left"/>
    </w:pPr>
    <w:r>
      <w:t>UNAMUR  ·  Guía práctica para autónomos y pymes</w:t>
    </w:r>
  </w:p>
</w:hdr>
</file>

<file path=word/header2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/>
</w:hdr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◦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</w:lvl>
    <w:lvl w:ilvl="3">
      <w:start w:val="1"/>
      <w:numFmt w:val="bullet"/>
      <w:lvlText w:val="•"/>
      <w:lvlJc w:val="left"/>
      <w:pPr>
        <w:ind w:left="2880" w:hanging="360"/>
      </w:pPr>
    </w:lvl>
    <w:lvl w:ilvl="4">
      <w:start w:val="1"/>
      <w:numFmt w:val="bullet"/>
      <w:lvlText w:val="◦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</w:lvl>
    <w:lvl w:ilvl="6">
      <w:start w:val="1"/>
      <w:numFmt w:val="bullet"/>
      <w:lvlText w:val="•"/>
      <w:lvlJc w:val="left"/>
      <w:pPr>
        <w:ind w:left="5040" w:hanging="360"/>
      </w:pPr>
    </w:lvl>
    <w:lvl w:ilvl="7">
      <w:start w:val="1"/>
      <w:numFmt w:val="bullet"/>
      <w:lvlText w:val="◦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w="http://schemas.openxmlformats.org/wordprocessingml/2006/main"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Noto Sans CJK SC" w:cs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  <w:qFormat/>
  </w:style>
  <w:style w:type="character" w:styleId="DefaultParagraphFont" w:default="1">
    <w:name w:val="Default Paragraph Font"/>
  </w:style>
  <w:style w:type="paragraph" w:styleId="Title">
    <w:name w:val="Title"/>
    <w:basedOn w:val="Normal"/>
    <w:qFormat/>
    <w:pPr>
      <w:spacing w:before="0" w:after="120"/>
    </w:pPr>
    <w:rPr>
      <w:color w:val="14315C"/>
      <w:sz w:val="56"/>
      <w:szCs w:val="56"/>
    </w:rPr>
  </w:style>
  <w:style w:type="paragraph" w:styleId="Subtitle">
    <w:name w:val="Subtitle"/>
    <w:basedOn w:val="Normal"/>
    <w:qFormat/>
    <w:pPr>
      <w:spacing w:after="160"/>
    </w:pPr>
    <w:rPr>
      <w:color w:val="595959"/>
      <w:sz w:val="28"/>
      <w:szCs w:val="28"/>
    </w:rPr>
  </w:style>
  <w:style w:type="paragraph" w:styleId="Heading1">
    <w:name w:val="heading 1"/>
    <w:basedOn w:val="Normal"/>
    <w:qFormat/>
    <w:pPr>
      <w:keepNext/>
      <w:keepLines/>
      <w:spacing w:before="240" w:after="80"/>
      <w:outlineLvl w:val="0"/>
    </w:pPr>
    <w:rPr>
      <w:b/>
      <w:bCs/>
      <w:color w:val="14315C"/>
      <w:sz w:val="32"/>
      <w:szCs w:val="32"/>
    </w:rPr>
  </w:style>
  <w:style w:type="paragraph" w:styleId="Heading2">
    <w:name w:val="heading 2"/>
    <w:basedOn w:val="Normal"/>
    <w:qFormat/>
    <w:pPr>
      <w:keepNext/>
      <w:keepLines/>
      <w:spacing w:before="200" w:after="80"/>
      <w:outlineLvl w:val="1"/>
    </w:pPr>
    <w:rPr>
      <w:b/>
      <w:bCs/>
      <w:color w:val="14315C"/>
      <w:sz w:val="26"/>
      <w:szCs w:val="26"/>
    </w:rPr>
  </w:style>
  <w:style w:type="paragraph" w:styleId="Heading3">
    <w:name w:val="heading 3"/>
    <w:basedOn w:val="Normal"/>
    <w:qFormat/>
    <w:pPr>
      <w:keepNext/>
      <w:keepLines/>
      <w:spacing w:before="160" w:after="80"/>
      <w:outlineLvl w:val="2"/>
    </w:pPr>
    <w:rPr>
      <w:b/>
      <w:bCs/>
      <w:color w:val="14315C"/>
      <w:sz w:val="24"/>
      <w:szCs w:val="24"/>
    </w:rPr>
  </w:style>
  <w:style w:type="paragraph" w:styleId="Heading4">
    <w:name w:val="heading 4"/>
    <w:basedOn w:val="Normal"/>
    <w:qFormat/>
    <w:pPr>
      <w:keepNext/>
      <w:keepLines/>
      <w:spacing w:before="160" w:after="40"/>
      <w:outlineLvl w:val="3"/>
    </w:pPr>
    <w:rPr>
      <w:b/>
      <w:bCs/>
      <w:i/>
      <w:iCs/>
      <w:color w:val="2F5496"/>
      <w:sz w:val="22"/>
      <w:szCs w:val="22"/>
    </w:rPr>
  </w:style>
  <w:style w:type="paragraph" w:styleId="Heading5">
    <w:name w:val="heading 5"/>
    <w:basedOn w:val="Normal"/>
    <w:qFormat/>
    <w:pPr>
      <w:keepNext/>
      <w:keepLines/>
      <w:spacing w:before="120" w:after="40"/>
      <w:outlineLvl w:val="4"/>
    </w:pPr>
    <w:rPr>
      <w:b/>
      <w:bCs/>
      <w:color w:val="1F3864"/>
      <w:sz w:val="22"/>
      <w:szCs w:val="22"/>
    </w:rPr>
  </w:style>
  <w:style w:type="paragraph" w:styleId="Heading6">
    <w:name w:val="heading 6"/>
    <w:basedOn w:val="Normal"/>
    <w:qFormat/>
    <w:pPr>
      <w:keepNext/>
      <w:keepLines/>
      <w:spacing w:before="120" w:after="40"/>
      <w:outlineLvl w:val="5"/>
    </w:pPr>
    <w:rPr>
      <w:i/>
      <w:iCs/>
      <w:color w:val="1F3864"/>
      <w:sz w:val="22"/>
      <w:szCs w:val="22"/>
    </w:rPr>
  </w:style>
  <w:style w:type="paragraph" w:styleId="Quote">
    <w:name w:val="Quote"/>
    <w:basedOn w:val="Normal"/>
    <w:qFormat/>
    <w:pPr>
      <w:pBdr>
        <w:left w:val="single" w:sz="24" w:space="8" w:color="CCCCCC"/>
      </w:pBdr>
      <w:spacing w:before="80" w:after="160"/>
      <w:ind w:left="360"/>
    </w:pPr>
    <w:rPr>
      <w:color w:val="595959"/>
    </w:rPr>
  </w:style>
  <w:style w:type="paragraph" w:styleId="Code">
    <w:name w:val="Code"/>
    <w:basedOn w:val="Normal"/>
    <w:qFormat/>
    <w:pPr>
      <w:keepLines/>
      <w:shd w:val="clear" w:color="auto" w:fill="F2F2F2"/>
      <w:spacing w:before="120" w:after="120" w:line="240" w:lineRule="auto"/>
    </w:pPr>
    <w:rPr>
      <w:rFonts w:ascii="Courier New" w:hAnsi="Courier New" w:eastAsia="Noto Sans Mono CJK SC" w:cs="Courier New"/>
      <w:sz w:val="19"/>
      <w:szCs w:val="19"/>
    </w:rPr>
  </w:style>
  <w:style w:type="character" w:styleId="CodeChar">
    <w:name w:val="Code Char"/>
    <w:rPr>
      <w:rFonts w:ascii="Courier New" w:hAnsi="Courier New" w:eastAsia="Noto Sans Mono CJK SC" w:cs="Courier New"/>
      <w:shd w:val="clear" w:color="auto" w:fill="F2F2F2"/>
    </w:rPr>
  </w:style>
  <w:style w:type="paragraph" w:styleId="ListParagraph">
    <w:name w:val="List Paragraph"/>
    <w:basedOn w:val="Normal"/>
    <w:qFormat/>
    <w:pPr>
      <w:ind w:left="720"/>
      <w:contextualSpacing/>
    </w:pPr>
  </w:style>
  <w:style w:type="character" w:styleId="Hyperlink">
    <w:name w:val="Hyperlink"/>
    <w:rPr>
      <w:color w:val="0563C1"/>
      <w:u w:val="single"/>
    </w:rPr>
  </w:style>
  <w:style w:type="paragraph" w:styleId="Header">
    <w:name w:val="header"/>
    <w:basedOn w:val="Normal"/>
    <w:qFormat/>
    <w:pPr>
      <w:spacing w:after="0"/>
    </w:pPr>
  </w:style>
  <w:style w:type="paragraph" w:styleId="Footer">
    <w:name w:val="footer"/>
    <w:basedOn w:val="Normal"/>
    <w:qFormat/>
    <w:pPr>
      <w:spacing w:after="0"/>
    </w:pPr>
  </w:style>
  <w:style w:type="paragraph" w:styleId="TOCHeading">
    <w:name w:val="TOC Heading"/>
    <w:basedOn w:val="Normal"/>
    <w:qFormat/>
    <w:pPr>
      <w:keepNext/>
      <w:spacing w:before="240" w:after="80"/>
    </w:pPr>
    <w:rPr>
      <w:b/>
      <w:bCs/>
      <w:color w:val="2F5496"/>
      <w:sz w:val="32"/>
      <w:szCs w:val="32"/>
    </w:rPr>
  </w:style>
  <w:style w:type="paragraph" w:styleId="FootnoteText">
    <w:name w:val="footnote text"/>
    <w:basedOn w:val="Normal"/>
    <w:qFormat/>
    <w:pPr>
      <w:spacing w:after="0" w:line="240" w:lineRule="auto"/>
    </w:pPr>
    <w:rPr>
      <w:sz w:val="18"/>
      <w:szCs w:val="18"/>
    </w:rPr>
  </w:style>
  <w:style w:type="character" w:styleId="FootnoteReference">
    <w:name w:val="footnote reference"/>
    <w:rPr>
      <w:vertAlign w:val="superscript"/>
    </w:rPr>
  </w:style>
  <w:style w:type="paragraph" w:styleId="EndnoteText">
    <w:name w:val="endnote text"/>
    <w:basedOn w:val="Normal"/>
    <w:qFormat/>
    <w:pPr>
      <w:spacing w:after="0" w:line="240" w:lineRule="auto"/>
    </w:pPr>
    <w:rPr>
      <w:sz w:val="18"/>
      <w:szCs w:val="18"/>
    </w:rPr>
  </w:style>
  <w:style w:type="character" w:styleId="EndnoteReference">
    <w:name w:val="endnote reference"/>
    <w:rPr>
      <w:vertAlign w:val="superscript"/>
    </w:rPr>
  </w:style>
  <w:style w:type="paragraph" w:styleId="Caption">
    <w:name w:val="caption"/>
    <w:basedOn w:val="Normal"/>
    <w:qFormat/>
    <w:pPr>
      <w:keepNext/>
      <w:spacing w:after="200"/>
    </w:pPr>
    <w:rPr>
      <w:i/>
      <w:iCs/>
      <w:color w:val="44546A"/>
      <w:sz w:val="18"/>
      <w:szCs w:val="18"/>
    </w:rPr>
  </w:style>
  <w:style w:type="table" w:styleId="TableNormal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>
  <Application>gendocx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Cuánto Cobrar la Hora</dc:title>
  <dc:creator>gendocx</dc:creator>
  <cp:lastModifiedBy>gendocx</cp:lastModifiedBy>
  <dcterms:created xsi:type="dcterms:W3CDTF">2026-01-01T00:00:00Z</dcterms:created>
  <dcterms:modified xsi:type="dcterms:W3CDTF">2026-01-01T00:00:00Z</dcterms:modified>
</cp:coreProperties>
</file>